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394"/>
        <w:gridCol w:w="2410"/>
      </w:tblGrid>
      <w:tr w:rsidR="009113D0" w14:paraId="2A544CAD" w14:textId="77777777" w:rsidTr="00611819">
        <w:tc>
          <w:tcPr>
            <w:tcW w:w="2093" w:type="dxa"/>
          </w:tcPr>
          <w:p w14:paraId="1A553EFE" w14:textId="77777777" w:rsidR="001C1D0E" w:rsidRDefault="001C1D0E" w:rsidP="00E250A3">
            <w:pPr>
              <w:jc w:val="center"/>
              <w:rPr>
                <w:rFonts w:eastAsia="Times New Roman" w:cs="Times New Roman"/>
                <w:noProof/>
                <w:lang w:eastAsia="en-GB"/>
              </w:rPr>
            </w:pPr>
          </w:p>
          <w:p w14:paraId="535E616D" w14:textId="77777777" w:rsidR="009113D0" w:rsidRPr="00BB6367" w:rsidRDefault="009113D0" w:rsidP="00E250A3">
            <w:pPr>
              <w:jc w:val="center"/>
              <w:rPr>
                <w:rFonts w:ascii="Times" w:eastAsia="Times New Roman" w:hAnsi="Times" w:cs="Times New Roman"/>
                <w:sz w:val="20"/>
                <w:szCs w:val="20"/>
                <w:shd w:val="clear" w:color="auto" w:fill="FFFFFF"/>
                <w:lang w:val="cy-GB"/>
              </w:rPr>
            </w:pPr>
            <w:r>
              <w:rPr>
                <w:rFonts w:eastAsia="Times New Roman" w:cs="Times New Roman"/>
                <w:noProof/>
                <w:lang w:val="en-US"/>
              </w:rPr>
              <w:drawing>
                <wp:inline distT="0" distB="0" distL="0" distR="0" wp14:anchorId="32D8BCDB" wp14:editId="3FD1EA23">
                  <wp:extent cx="889000" cy="740832"/>
                  <wp:effectExtent l="0" t="0" r="0" b="0"/>
                  <wp:docPr id="2" name="Picture 1" descr="W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957" cy="743296"/>
                          </a:xfrm>
                          <a:prstGeom prst="rect">
                            <a:avLst/>
                          </a:prstGeom>
                          <a:noFill/>
                          <a:ln>
                            <a:noFill/>
                          </a:ln>
                        </pic:spPr>
                      </pic:pic>
                    </a:graphicData>
                  </a:graphic>
                </wp:inline>
              </w:drawing>
            </w:r>
          </w:p>
          <w:p w14:paraId="66CC738E" w14:textId="77777777" w:rsidR="009113D0" w:rsidRPr="00290904" w:rsidRDefault="009113D0" w:rsidP="00E250A3">
            <w:pPr>
              <w:jc w:val="center"/>
              <w:rPr>
                <w:rFonts w:ascii="Tahoma" w:eastAsia="Arial Unicode MS" w:hAnsi="Tahoma" w:cs="Tahoma"/>
                <w:color w:val="808080" w:themeColor="background1" w:themeShade="80"/>
                <w:sz w:val="40"/>
                <w:szCs w:val="40"/>
              </w:rPr>
            </w:pPr>
          </w:p>
        </w:tc>
        <w:tc>
          <w:tcPr>
            <w:tcW w:w="4394" w:type="dxa"/>
          </w:tcPr>
          <w:p w14:paraId="4C79EA13" w14:textId="77777777" w:rsidR="000C4929" w:rsidRPr="000C4929" w:rsidRDefault="000C4929" w:rsidP="00E250A3">
            <w:pPr>
              <w:jc w:val="center"/>
              <w:rPr>
                <w:rFonts w:asciiTheme="majorHAnsi" w:eastAsia="Arial Unicode MS" w:hAnsiTheme="majorHAnsi" w:cstheme="majorHAnsi"/>
                <w:color w:val="17365D" w:themeColor="text2" w:themeShade="BF"/>
                <w:sz w:val="36"/>
                <w:szCs w:val="40"/>
              </w:rPr>
            </w:pPr>
            <w:r w:rsidRPr="000C4929">
              <w:rPr>
                <w:rFonts w:asciiTheme="majorHAnsi" w:eastAsia="Arial Unicode MS" w:hAnsiTheme="majorHAnsi" w:cstheme="majorHAnsi"/>
                <w:color w:val="17365D" w:themeColor="text2" w:themeShade="BF"/>
                <w:sz w:val="36"/>
                <w:szCs w:val="40"/>
              </w:rPr>
              <w:t xml:space="preserve">Seminar 6: Cohering Inter-disciplinary responses and rebuilding the agenda </w:t>
            </w:r>
          </w:p>
          <w:p w14:paraId="7C15AC6C" w14:textId="77777777" w:rsidR="009113D0" w:rsidRPr="00BB6367" w:rsidRDefault="000C4929" w:rsidP="00E250A3">
            <w:pPr>
              <w:jc w:val="center"/>
              <w:rPr>
                <w:rFonts w:ascii="Tahoma" w:eastAsia="Arial Unicode MS" w:hAnsi="Tahoma" w:cs="Tahoma"/>
                <w:sz w:val="36"/>
                <w:szCs w:val="36"/>
              </w:rPr>
            </w:pPr>
            <w:r>
              <w:rPr>
                <w:rFonts w:asciiTheme="majorHAnsi" w:eastAsia="Arial Unicode MS" w:hAnsiTheme="majorHAnsi" w:cstheme="majorHAnsi"/>
                <w:color w:val="17365D" w:themeColor="text2" w:themeShade="BF"/>
                <w:sz w:val="36"/>
                <w:szCs w:val="40"/>
              </w:rPr>
              <w:t>20 May 2016</w:t>
            </w:r>
          </w:p>
        </w:tc>
        <w:tc>
          <w:tcPr>
            <w:tcW w:w="2410" w:type="dxa"/>
          </w:tcPr>
          <w:p w14:paraId="66849D0C" w14:textId="77777777" w:rsidR="001C1D0E" w:rsidRPr="008563D0" w:rsidRDefault="001C1D0E" w:rsidP="00E250A3">
            <w:pPr>
              <w:pStyle w:val="Title"/>
              <w:pBdr>
                <w:bottom w:val="none" w:sz="0" w:space="0" w:color="auto"/>
              </w:pBdr>
              <w:jc w:val="center"/>
              <w:rPr>
                <w:noProof/>
                <w:color w:val="808080" w:themeColor="background1" w:themeShade="80"/>
                <w:sz w:val="24"/>
                <w:szCs w:val="24"/>
                <w:lang w:eastAsia="en-GB"/>
              </w:rPr>
            </w:pPr>
          </w:p>
          <w:p w14:paraId="0889D245" w14:textId="77777777" w:rsidR="009113D0" w:rsidRDefault="009113D0" w:rsidP="00E250A3">
            <w:pPr>
              <w:pStyle w:val="Title"/>
              <w:pBdr>
                <w:bottom w:val="none" w:sz="0" w:space="0" w:color="auto"/>
              </w:pBdr>
              <w:jc w:val="center"/>
              <w:rPr>
                <w:color w:val="808080" w:themeColor="background1" w:themeShade="80"/>
                <w:sz w:val="40"/>
                <w:szCs w:val="40"/>
              </w:rPr>
            </w:pPr>
            <w:r>
              <w:rPr>
                <w:noProof/>
                <w:color w:val="808080" w:themeColor="background1" w:themeShade="80"/>
                <w:sz w:val="40"/>
                <w:szCs w:val="40"/>
                <w:lang w:val="en-US"/>
              </w:rPr>
              <w:drawing>
                <wp:inline distT="0" distB="0" distL="0" distR="0" wp14:anchorId="73100C9D" wp14:editId="49C0E350">
                  <wp:extent cx="855134" cy="71267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348" cy="715355"/>
                          </a:xfrm>
                          <a:prstGeom prst="rect">
                            <a:avLst/>
                          </a:prstGeom>
                          <a:noFill/>
                          <a:ln>
                            <a:noFill/>
                          </a:ln>
                        </pic:spPr>
                      </pic:pic>
                    </a:graphicData>
                  </a:graphic>
                </wp:inline>
              </w:drawing>
            </w:r>
          </w:p>
        </w:tc>
      </w:tr>
    </w:tbl>
    <w:p w14:paraId="7F0E57BE" w14:textId="77777777" w:rsidR="00A567B7" w:rsidRPr="00A567B7" w:rsidRDefault="00A567B7" w:rsidP="00A567B7"/>
    <w:p w14:paraId="64491E7D" w14:textId="77777777" w:rsidR="003728D0" w:rsidRPr="00F77A9F" w:rsidRDefault="003728D0" w:rsidP="003728D0">
      <w:pPr>
        <w:pStyle w:val="Title"/>
        <w:jc w:val="center"/>
        <w:rPr>
          <w:rFonts w:cstheme="majorHAnsi"/>
          <w:sz w:val="40"/>
          <w:szCs w:val="40"/>
        </w:rPr>
      </w:pPr>
      <w:r w:rsidRPr="00F77A9F">
        <w:rPr>
          <w:rFonts w:cstheme="majorHAnsi"/>
          <w:sz w:val="40"/>
          <w:szCs w:val="40"/>
        </w:rPr>
        <w:t>Seminar Summary</w:t>
      </w:r>
    </w:p>
    <w:p w14:paraId="64239506" w14:textId="59B15F3A" w:rsidR="00FE4DB2" w:rsidRPr="00605F9C" w:rsidRDefault="00FE4DB2" w:rsidP="00FE4DB2">
      <w:pPr>
        <w:rPr>
          <w:rFonts w:asciiTheme="majorHAnsi" w:hAnsiTheme="majorHAnsi" w:cstheme="majorHAnsi"/>
          <w:i/>
          <w:iCs/>
        </w:rPr>
      </w:pPr>
      <w:r w:rsidRPr="00605F9C">
        <w:rPr>
          <w:rFonts w:asciiTheme="majorHAnsi" w:hAnsiTheme="majorHAnsi" w:cstheme="majorHAnsi"/>
          <w:i/>
        </w:rPr>
        <w:t xml:space="preserve">This summary </w:t>
      </w:r>
      <w:r w:rsidR="00605F9C" w:rsidRPr="00605F9C">
        <w:rPr>
          <w:rFonts w:asciiTheme="majorHAnsi" w:hAnsiTheme="majorHAnsi" w:cstheme="majorHAnsi"/>
          <w:i/>
        </w:rPr>
        <w:t>has been prepared</w:t>
      </w:r>
      <w:r w:rsidR="000C4929" w:rsidRPr="00605F9C">
        <w:rPr>
          <w:rFonts w:asciiTheme="majorHAnsi" w:hAnsiTheme="majorHAnsi" w:cstheme="majorHAnsi"/>
          <w:i/>
        </w:rPr>
        <w:t xml:space="preserve"> </w:t>
      </w:r>
      <w:r w:rsidR="004E196E">
        <w:rPr>
          <w:rFonts w:asciiTheme="majorHAnsi" w:hAnsiTheme="majorHAnsi" w:cstheme="majorHAnsi"/>
          <w:i/>
        </w:rPr>
        <w:t>with the help of</w:t>
      </w:r>
      <w:r w:rsidR="000C4929" w:rsidRPr="00605F9C">
        <w:rPr>
          <w:rFonts w:asciiTheme="majorHAnsi" w:hAnsiTheme="majorHAnsi" w:cstheme="majorHAnsi"/>
          <w:i/>
        </w:rPr>
        <w:t xml:space="preserve"> PhD student</w:t>
      </w:r>
      <w:r w:rsidR="004E196E">
        <w:rPr>
          <w:rFonts w:asciiTheme="majorHAnsi" w:hAnsiTheme="majorHAnsi" w:cstheme="majorHAnsi"/>
          <w:i/>
        </w:rPr>
        <w:t>s</w:t>
      </w:r>
      <w:r w:rsidR="00605F9C">
        <w:rPr>
          <w:rFonts w:asciiTheme="majorHAnsi" w:hAnsiTheme="majorHAnsi" w:cstheme="majorHAnsi"/>
          <w:i/>
        </w:rPr>
        <w:t xml:space="preserve"> Abigail Blyth from</w:t>
      </w:r>
      <w:r w:rsidRPr="00605F9C">
        <w:rPr>
          <w:rFonts w:asciiTheme="majorHAnsi" w:hAnsiTheme="majorHAnsi" w:cstheme="majorHAnsi"/>
          <w:i/>
        </w:rPr>
        <w:t xml:space="preserve"> Aberystwyth University</w:t>
      </w:r>
      <w:r w:rsidR="004E196E">
        <w:rPr>
          <w:rFonts w:asciiTheme="majorHAnsi" w:hAnsiTheme="majorHAnsi" w:cstheme="majorHAnsi"/>
          <w:i/>
        </w:rPr>
        <w:t xml:space="preserve"> and George </w:t>
      </w:r>
      <w:proofErr w:type="spellStart"/>
      <w:r w:rsidR="004E196E">
        <w:rPr>
          <w:rFonts w:asciiTheme="majorHAnsi" w:hAnsiTheme="majorHAnsi" w:cstheme="majorHAnsi"/>
          <w:i/>
        </w:rPr>
        <w:t>Petry</w:t>
      </w:r>
      <w:proofErr w:type="spellEnd"/>
      <w:r w:rsidR="004E196E">
        <w:rPr>
          <w:rFonts w:asciiTheme="majorHAnsi" w:hAnsiTheme="majorHAnsi" w:cstheme="majorHAnsi"/>
          <w:i/>
        </w:rPr>
        <w:t xml:space="preserve"> from University of South Wales</w:t>
      </w:r>
      <w:r w:rsidR="000C4929" w:rsidRPr="00605F9C">
        <w:rPr>
          <w:rFonts w:asciiTheme="majorHAnsi" w:hAnsiTheme="majorHAnsi" w:cstheme="majorHAnsi"/>
          <w:i/>
        </w:rPr>
        <w:t>.</w:t>
      </w:r>
    </w:p>
    <w:p w14:paraId="4418EB6F" w14:textId="77777777" w:rsidR="00FE4DB2" w:rsidRPr="00F77A9F" w:rsidRDefault="00FE4DB2" w:rsidP="003728D0">
      <w:pPr>
        <w:jc w:val="both"/>
        <w:rPr>
          <w:rFonts w:asciiTheme="majorHAnsi" w:hAnsiTheme="majorHAnsi" w:cstheme="majorHAnsi"/>
        </w:rPr>
      </w:pPr>
      <w:r w:rsidRPr="00F77A9F">
        <w:rPr>
          <w:rFonts w:asciiTheme="majorHAnsi" w:hAnsiTheme="majorHAnsi" w:cstheme="majorHAnsi"/>
        </w:rPr>
        <w:t xml:space="preserve"> </w:t>
      </w:r>
    </w:p>
    <w:p w14:paraId="0B0CDC84" w14:textId="1E5B5924" w:rsidR="000C4929" w:rsidRPr="009F678E" w:rsidRDefault="00262478" w:rsidP="003728D0">
      <w:pPr>
        <w:jc w:val="both"/>
        <w:rPr>
          <w:rFonts w:asciiTheme="majorHAnsi" w:hAnsiTheme="majorHAnsi" w:cstheme="majorHAnsi"/>
        </w:rPr>
      </w:pPr>
      <w:hyperlink r:id="rId10" w:history="1">
        <w:r w:rsidR="003728D0" w:rsidRPr="009F678E">
          <w:rPr>
            <w:rStyle w:val="Hyperlink"/>
            <w:rFonts w:asciiTheme="majorHAnsi" w:hAnsiTheme="majorHAnsi" w:cstheme="majorHAnsi"/>
            <w:b/>
          </w:rPr>
          <w:t>Introduction</w:t>
        </w:r>
      </w:hyperlink>
      <w:r w:rsidR="003728D0" w:rsidRPr="009F678E">
        <w:rPr>
          <w:rFonts w:asciiTheme="majorHAnsi" w:hAnsiTheme="majorHAnsi" w:cstheme="majorHAnsi"/>
          <w:b/>
        </w:rPr>
        <w:t xml:space="preserve"> by </w:t>
      </w:r>
      <w:r w:rsidR="0020208F" w:rsidRPr="009F678E">
        <w:rPr>
          <w:rFonts w:asciiTheme="majorHAnsi" w:hAnsiTheme="majorHAnsi" w:cstheme="majorHAnsi"/>
          <w:b/>
        </w:rPr>
        <w:t xml:space="preserve">Martina </w:t>
      </w:r>
      <w:proofErr w:type="spellStart"/>
      <w:r w:rsidR="0020208F" w:rsidRPr="009F678E">
        <w:rPr>
          <w:rFonts w:asciiTheme="majorHAnsi" w:hAnsiTheme="majorHAnsi" w:cstheme="majorHAnsi"/>
          <w:b/>
        </w:rPr>
        <w:t>Feilzer</w:t>
      </w:r>
      <w:proofErr w:type="spellEnd"/>
      <w:r w:rsidR="0020208F" w:rsidRPr="009F678E">
        <w:rPr>
          <w:rFonts w:asciiTheme="majorHAnsi" w:hAnsiTheme="majorHAnsi" w:cstheme="majorHAnsi"/>
          <w:b/>
        </w:rPr>
        <w:t xml:space="preserve"> and </w:t>
      </w:r>
      <w:r w:rsidR="000C4929" w:rsidRPr="009F678E">
        <w:rPr>
          <w:rFonts w:asciiTheme="majorHAnsi" w:hAnsiTheme="majorHAnsi" w:cstheme="majorHAnsi"/>
          <w:b/>
        </w:rPr>
        <w:t xml:space="preserve">Yvonne McDermott: </w:t>
      </w:r>
      <w:r w:rsidR="009F678E">
        <w:rPr>
          <w:rFonts w:asciiTheme="majorHAnsi" w:hAnsiTheme="majorHAnsi" w:cstheme="majorHAnsi"/>
        </w:rPr>
        <w:t>This</w:t>
      </w:r>
      <w:r w:rsidR="000C4929" w:rsidRPr="009F678E">
        <w:rPr>
          <w:rFonts w:asciiTheme="majorHAnsi" w:hAnsiTheme="majorHAnsi" w:cstheme="majorHAnsi"/>
        </w:rPr>
        <w:t xml:space="preserve"> seminar </w:t>
      </w:r>
      <w:r w:rsidR="009F678E">
        <w:rPr>
          <w:rFonts w:asciiTheme="majorHAnsi" w:hAnsiTheme="majorHAnsi" w:cstheme="majorHAnsi"/>
        </w:rPr>
        <w:t xml:space="preserve">aimed </w:t>
      </w:r>
      <w:r w:rsidR="000C4929" w:rsidRPr="009F678E">
        <w:rPr>
          <w:rFonts w:asciiTheme="majorHAnsi" w:hAnsiTheme="majorHAnsi" w:cstheme="majorHAnsi"/>
        </w:rPr>
        <w:t xml:space="preserve">to </w:t>
      </w:r>
      <w:r w:rsidR="0087183F">
        <w:rPr>
          <w:rFonts w:asciiTheme="majorHAnsi" w:hAnsiTheme="majorHAnsi" w:cstheme="majorHAnsi"/>
        </w:rPr>
        <w:t>synthesise</w:t>
      </w:r>
      <w:r w:rsidR="000C4929" w:rsidRPr="009F678E">
        <w:rPr>
          <w:rFonts w:asciiTheme="majorHAnsi" w:hAnsiTheme="majorHAnsi" w:cstheme="majorHAnsi"/>
        </w:rPr>
        <w:t xml:space="preserve"> what we have learned </w:t>
      </w:r>
      <w:r w:rsidR="004E196E" w:rsidRPr="009F678E">
        <w:rPr>
          <w:rFonts w:asciiTheme="majorHAnsi" w:hAnsiTheme="majorHAnsi" w:cstheme="majorHAnsi"/>
        </w:rPr>
        <w:t xml:space="preserve">from previous </w:t>
      </w:r>
      <w:hyperlink r:id="rId11" w:history="1">
        <w:r w:rsidR="0087183F" w:rsidRPr="009F678E">
          <w:rPr>
            <w:rStyle w:val="Hyperlink"/>
            <w:rFonts w:asciiTheme="majorHAnsi" w:hAnsiTheme="majorHAnsi" w:cstheme="majorHAnsi"/>
          </w:rPr>
          <w:t>Seminars 1-5</w:t>
        </w:r>
      </w:hyperlink>
      <w:r w:rsidR="00D734A7" w:rsidRPr="009F678E">
        <w:rPr>
          <w:rFonts w:asciiTheme="majorHAnsi" w:hAnsiTheme="majorHAnsi" w:cstheme="majorHAnsi"/>
        </w:rPr>
        <w:t>; to decide on key messages for the general public and policy makers;</w:t>
      </w:r>
      <w:r w:rsidR="000C4929" w:rsidRPr="009F678E">
        <w:rPr>
          <w:rFonts w:asciiTheme="majorHAnsi" w:hAnsiTheme="majorHAnsi" w:cstheme="majorHAnsi"/>
        </w:rPr>
        <w:t xml:space="preserve"> and to think about how these ideas can be </w:t>
      </w:r>
      <w:r w:rsidR="004E196E" w:rsidRPr="009F678E">
        <w:rPr>
          <w:rFonts w:asciiTheme="majorHAnsi" w:hAnsiTheme="majorHAnsi" w:cstheme="majorHAnsi"/>
        </w:rPr>
        <w:t xml:space="preserve">best </w:t>
      </w:r>
      <w:r w:rsidR="000C4929" w:rsidRPr="009F678E">
        <w:rPr>
          <w:rFonts w:asciiTheme="majorHAnsi" w:hAnsiTheme="majorHAnsi" w:cstheme="majorHAnsi"/>
        </w:rPr>
        <w:t xml:space="preserve">communicated. </w:t>
      </w:r>
    </w:p>
    <w:p w14:paraId="0774699B" w14:textId="77777777" w:rsidR="00C937FE" w:rsidRPr="009F678E" w:rsidRDefault="00C937FE" w:rsidP="003728D0">
      <w:pPr>
        <w:jc w:val="both"/>
        <w:rPr>
          <w:rFonts w:asciiTheme="majorHAnsi" w:hAnsiTheme="majorHAnsi" w:cstheme="majorHAnsi"/>
        </w:rPr>
      </w:pPr>
    </w:p>
    <w:p w14:paraId="5F540394" w14:textId="16FFF5D7" w:rsidR="009F678E" w:rsidRPr="009F678E" w:rsidRDefault="00262478" w:rsidP="003728D0">
      <w:pPr>
        <w:jc w:val="both"/>
        <w:rPr>
          <w:rFonts w:asciiTheme="majorHAnsi" w:hAnsiTheme="majorHAnsi" w:cstheme="majorHAnsi"/>
        </w:rPr>
      </w:pPr>
      <w:hyperlink r:id="rId12" w:history="1">
        <w:r w:rsidR="00C937FE" w:rsidRPr="009F678E">
          <w:rPr>
            <w:rStyle w:val="Hyperlink"/>
            <w:rFonts w:asciiTheme="majorHAnsi" w:hAnsiTheme="majorHAnsi" w:cstheme="majorHAnsi"/>
            <w:b/>
          </w:rPr>
          <w:t>Vian Bakir</w:t>
        </w:r>
      </w:hyperlink>
      <w:r w:rsidR="00C937FE" w:rsidRPr="009F678E">
        <w:rPr>
          <w:rFonts w:asciiTheme="majorHAnsi" w:hAnsiTheme="majorHAnsi" w:cstheme="majorHAnsi"/>
          <w:b/>
        </w:rPr>
        <w:t xml:space="preserve"> </w:t>
      </w:r>
      <w:r w:rsidR="00C937FE" w:rsidRPr="009F678E">
        <w:rPr>
          <w:rFonts w:asciiTheme="majorHAnsi" w:hAnsiTheme="majorHAnsi" w:cstheme="majorHAnsi"/>
        </w:rPr>
        <w:t xml:space="preserve">discussed some of the outputs that </w:t>
      </w:r>
      <w:r w:rsidR="00EF4809" w:rsidRPr="009F678E">
        <w:rPr>
          <w:rFonts w:asciiTheme="majorHAnsi" w:hAnsiTheme="majorHAnsi" w:cstheme="majorHAnsi"/>
        </w:rPr>
        <w:t>have</w:t>
      </w:r>
      <w:r w:rsidR="00C937FE" w:rsidRPr="009F678E">
        <w:rPr>
          <w:rFonts w:asciiTheme="majorHAnsi" w:hAnsiTheme="majorHAnsi" w:cstheme="majorHAnsi"/>
        </w:rPr>
        <w:t xml:space="preserve"> arisen from the Seminar Series, including the </w:t>
      </w:r>
      <w:hyperlink r:id="rId13" w:history="1">
        <w:r w:rsidR="00C937FE" w:rsidRPr="009F678E">
          <w:rPr>
            <w:rStyle w:val="Hyperlink"/>
            <w:rFonts w:asciiTheme="majorHAnsi" w:hAnsiTheme="majorHAnsi" w:cstheme="majorHAnsi"/>
          </w:rPr>
          <w:t>website</w:t>
        </w:r>
      </w:hyperlink>
      <w:r w:rsidR="00C937FE" w:rsidRPr="009F678E">
        <w:rPr>
          <w:rFonts w:asciiTheme="majorHAnsi" w:hAnsiTheme="majorHAnsi" w:cstheme="majorHAnsi"/>
        </w:rPr>
        <w:t xml:space="preserve">, </w:t>
      </w:r>
      <w:hyperlink r:id="rId14" w:history="1">
        <w:r w:rsidR="00C937FE" w:rsidRPr="009F678E">
          <w:rPr>
            <w:rStyle w:val="Hyperlink"/>
            <w:rFonts w:asciiTheme="majorHAnsi" w:hAnsiTheme="majorHAnsi" w:cstheme="majorHAnsi"/>
          </w:rPr>
          <w:t>blog</w:t>
        </w:r>
      </w:hyperlink>
      <w:r w:rsidR="00C937FE" w:rsidRPr="009F678E">
        <w:rPr>
          <w:rFonts w:asciiTheme="majorHAnsi" w:hAnsiTheme="majorHAnsi" w:cstheme="majorHAnsi"/>
        </w:rPr>
        <w:t xml:space="preserve">, listserv, a related project on </w:t>
      </w:r>
      <w:hyperlink r:id="rId15" w:history="1">
        <w:r w:rsidR="00C937FE" w:rsidRPr="009F678E">
          <w:rPr>
            <w:rStyle w:val="Hyperlink"/>
            <w:rFonts w:asciiTheme="majorHAnsi" w:hAnsiTheme="majorHAnsi" w:cstheme="majorHAnsi"/>
          </w:rPr>
          <w:t>public f</w:t>
        </w:r>
        <w:r w:rsidR="0020208F" w:rsidRPr="009F678E">
          <w:rPr>
            <w:rStyle w:val="Hyperlink"/>
            <w:rFonts w:asciiTheme="majorHAnsi" w:hAnsiTheme="majorHAnsi" w:cstheme="majorHAnsi"/>
          </w:rPr>
          <w:t>eeling on privacy, security and</w:t>
        </w:r>
        <w:r w:rsidR="00C937FE" w:rsidRPr="009F678E">
          <w:rPr>
            <w:rStyle w:val="Hyperlink"/>
            <w:rFonts w:asciiTheme="majorHAnsi" w:hAnsiTheme="majorHAnsi" w:cstheme="majorHAnsi"/>
          </w:rPr>
          <w:t xml:space="preserve"> surveillance</w:t>
        </w:r>
      </w:hyperlink>
      <w:r w:rsidR="00C937FE" w:rsidRPr="009F678E">
        <w:rPr>
          <w:rFonts w:asciiTheme="majorHAnsi" w:hAnsiTheme="majorHAnsi" w:cstheme="majorHAnsi"/>
        </w:rPr>
        <w:t xml:space="preserve">; a journal </w:t>
      </w:r>
      <w:hyperlink r:id="rId16" w:history="1">
        <w:r w:rsidR="00C937FE" w:rsidRPr="009F678E">
          <w:rPr>
            <w:rStyle w:val="Hyperlink"/>
            <w:rFonts w:asciiTheme="majorHAnsi" w:hAnsiTheme="majorHAnsi" w:cstheme="majorHAnsi"/>
          </w:rPr>
          <w:t xml:space="preserve">special </w:t>
        </w:r>
        <w:r w:rsidR="0020208F" w:rsidRPr="009F678E">
          <w:rPr>
            <w:rStyle w:val="Hyperlink"/>
            <w:rFonts w:asciiTheme="majorHAnsi" w:hAnsiTheme="majorHAnsi" w:cstheme="majorHAnsi"/>
          </w:rPr>
          <w:t>issue</w:t>
        </w:r>
      </w:hyperlink>
      <w:r w:rsidR="0020208F" w:rsidRPr="009F678E">
        <w:rPr>
          <w:rFonts w:asciiTheme="majorHAnsi" w:hAnsiTheme="majorHAnsi" w:cstheme="majorHAnsi"/>
        </w:rPr>
        <w:t xml:space="preserve">, </w:t>
      </w:r>
      <w:r w:rsidR="004E196E" w:rsidRPr="009F678E">
        <w:rPr>
          <w:rFonts w:asciiTheme="majorHAnsi" w:hAnsiTheme="majorHAnsi" w:cstheme="majorHAnsi"/>
        </w:rPr>
        <w:t xml:space="preserve">successful </w:t>
      </w:r>
      <w:r w:rsidR="0020208F" w:rsidRPr="009F678E">
        <w:rPr>
          <w:rFonts w:asciiTheme="majorHAnsi" w:hAnsiTheme="majorHAnsi" w:cstheme="majorHAnsi"/>
        </w:rPr>
        <w:t xml:space="preserve">funding applications, and individual publications. </w:t>
      </w:r>
      <w:r w:rsidR="0053665A" w:rsidRPr="009F678E">
        <w:rPr>
          <w:rFonts w:asciiTheme="majorHAnsi" w:hAnsiTheme="majorHAnsi" w:cstheme="majorHAnsi"/>
        </w:rPr>
        <w:t xml:space="preserve">One of the key aims of this seminar series was to better understand and theorise the nature of contemporary (post-Snowden) transparency. </w:t>
      </w:r>
      <w:r w:rsidR="009F678E" w:rsidRPr="009F678E">
        <w:rPr>
          <w:rFonts w:asciiTheme="majorHAnsi" w:hAnsiTheme="majorHAnsi" w:cstheme="majorHAnsi"/>
        </w:rPr>
        <w:t xml:space="preserve">We started the Seminar Series by proposing a typology of three types of transparency; two originally identified by Bentham: Liberal and Radical Transparency, and one coined by McStay, that appears increasingly pertinent to today’s society: Forced Transparency, or transparency without consent or choice, and where accountability of </w:t>
      </w:r>
      <w:proofErr w:type="spellStart"/>
      <w:r w:rsidR="009F678E" w:rsidRPr="009F678E">
        <w:rPr>
          <w:rFonts w:asciiTheme="majorHAnsi" w:hAnsiTheme="majorHAnsi" w:cstheme="majorHAnsi"/>
        </w:rPr>
        <w:t>surveillant</w:t>
      </w:r>
      <w:proofErr w:type="spellEnd"/>
      <w:r w:rsidR="009F678E" w:rsidRPr="009F678E">
        <w:rPr>
          <w:rFonts w:asciiTheme="majorHAnsi" w:hAnsiTheme="majorHAnsi" w:cstheme="majorHAnsi"/>
        </w:rPr>
        <w:t xml:space="preserve"> organisations is insufficient to generate social trust.  Pointing to Bakir and </w:t>
      </w:r>
      <w:proofErr w:type="spellStart"/>
      <w:r w:rsidR="009F678E" w:rsidRPr="009F678E">
        <w:rPr>
          <w:rFonts w:asciiTheme="majorHAnsi" w:hAnsiTheme="majorHAnsi" w:cstheme="majorHAnsi"/>
        </w:rPr>
        <w:t>McStay’s</w:t>
      </w:r>
      <w:proofErr w:type="spellEnd"/>
      <w:r w:rsidR="009F678E" w:rsidRPr="009F678E">
        <w:rPr>
          <w:rFonts w:asciiTheme="majorHAnsi" w:hAnsiTheme="majorHAnsi" w:cstheme="majorHAnsi"/>
        </w:rPr>
        <w:t xml:space="preserve"> recent </w:t>
      </w:r>
      <w:hyperlink r:id="rId17" w:history="1">
        <w:r w:rsidR="009F678E" w:rsidRPr="009F678E">
          <w:rPr>
            <w:rStyle w:val="Hyperlink"/>
            <w:rFonts w:asciiTheme="majorHAnsi" w:hAnsiTheme="majorHAnsi" w:cstheme="majorHAnsi"/>
          </w:rPr>
          <w:t>Ethical Space article</w:t>
        </w:r>
      </w:hyperlink>
      <w:r w:rsidR="009F678E" w:rsidRPr="009F678E">
        <w:rPr>
          <w:rFonts w:asciiTheme="majorHAnsi" w:hAnsiTheme="majorHAnsi" w:cstheme="majorHAnsi"/>
        </w:rPr>
        <w:t>, Bakir explained how</w:t>
      </w:r>
      <w:r w:rsidR="005F4D76">
        <w:rPr>
          <w:rFonts w:asciiTheme="majorHAnsi" w:hAnsiTheme="majorHAnsi" w:cstheme="majorHAnsi"/>
        </w:rPr>
        <w:t xml:space="preserve">, drawing on the range of positions held by the inter-disciplinary and multi-end user participants in the </w:t>
      </w:r>
      <w:r w:rsidR="002E399D">
        <w:rPr>
          <w:rFonts w:asciiTheme="majorHAnsi" w:hAnsiTheme="majorHAnsi" w:cstheme="majorHAnsi"/>
        </w:rPr>
        <w:t>Seminar S</w:t>
      </w:r>
      <w:r w:rsidR="005F4D76">
        <w:rPr>
          <w:rFonts w:asciiTheme="majorHAnsi" w:hAnsiTheme="majorHAnsi" w:cstheme="majorHAnsi"/>
        </w:rPr>
        <w:t>eries,</w:t>
      </w:r>
      <w:r w:rsidR="009F678E" w:rsidRPr="009F678E">
        <w:rPr>
          <w:rFonts w:asciiTheme="majorHAnsi" w:hAnsiTheme="majorHAnsi" w:cstheme="majorHAnsi"/>
        </w:rPr>
        <w:t xml:space="preserve"> they had since refined and added to that typology</w:t>
      </w:r>
      <w:r w:rsidR="005F4D76">
        <w:rPr>
          <w:rFonts w:asciiTheme="majorHAnsi" w:hAnsiTheme="majorHAnsi" w:cstheme="majorHAnsi"/>
        </w:rPr>
        <w:t>. B</w:t>
      </w:r>
      <w:r w:rsidR="009F678E" w:rsidRPr="009F678E">
        <w:rPr>
          <w:rFonts w:asciiTheme="majorHAnsi" w:hAnsiTheme="majorHAnsi" w:cstheme="majorHAnsi"/>
        </w:rPr>
        <w:t>y building in degrees o</w:t>
      </w:r>
      <w:r w:rsidR="005F4D76">
        <w:rPr>
          <w:rFonts w:asciiTheme="majorHAnsi" w:hAnsiTheme="majorHAnsi" w:cstheme="majorHAnsi"/>
        </w:rPr>
        <w:t>f opacity, or ‘</w:t>
      </w:r>
      <w:proofErr w:type="spellStart"/>
      <w:r w:rsidR="005F4D76">
        <w:rPr>
          <w:rFonts w:asciiTheme="majorHAnsi" w:hAnsiTheme="majorHAnsi" w:cstheme="majorHAnsi"/>
        </w:rPr>
        <w:t>transclucency</w:t>
      </w:r>
      <w:proofErr w:type="spellEnd"/>
      <w:r w:rsidR="005F4D76">
        <w:rPr>
          <w:rFonts w:asciiTheme="majorHAnsi" w:hAnsiTheme="majorHAnsi" w:cstheme="majorHAnsi"/>
        </w:rPr>
        <w:t>’, t</w:t>
      </w:r>
      <w:r w:rsidR="009F678E" w:rsidRPr="009F678E">
        <w:rPr>
          <w:rFonts w:asciiTheme="majorHAnsi" w:hAnsiTheme="majorHAnsi" w:cstheme="majorHAnsi"/>
        </w:rPr>
        <w:t xml:space="preserve">he typology now represents five positions, on transparency, each describing different combinations of </w:t>
      </w:r>
      <w:r w:rsidR="005F4D76">
        <w:rPr>
          <w:rFonts w:asciiTheme="majorHAnsi" w:hAnsiTheme="majorHAnsi" w:cstheme="majorHAnsi"/>
        </w:rPr>
        <w:t xml:space="preserve">(a) </w:t>
      </w:r>
      <w:r w:rsidR="009F678E" w:rsidRPr="009F678E">
        <w:rPr>
          <w:rFonts w:asciiTheme="majorHAnsi" w:hAnsiTheme="majorHAnsi" w:cstheme="majorHAnsi"/>
        </w:rPr>
        <w:t xml:space="preserve">control over personal visibility, and </w:t>
      </w:r>
      <w:r w:rsidR="005F4D76">
        <w:rPr>
          <w:rFonts w:asciiTheme="majorHAnsi" w:hAnsiTheme="majorHAnsi" w:cstheme="majorHAnsi"/>
        </w:rPr>
        <w:t xml:space="preserve">(b) </w:t>
      </w:r>
      <w:r w:rsidR="009F678E" w:rsidRPr="009F678E">
        <w:rPr>
          <w:rFonts w:asciiTheme="majorHAnsi" w:hAnsiTheme="majorHAnsi" w:cstheme="majorHAnsi"/>
        </w:rPr>
        <w:t xml:space="preserve">accountability of </w:t>
      </w:r>
      <w:proofErr w:type="spellStart"/>
      <w:r w:rsidR="009F678E" w:rsidRPr="009F678E">
        <w:rPr>
          <w:rFonts w:asciiTheme="majorHAnsi" w:hAnsiTheme="majorHAnsi" w:cstheme="majorHAnsi"/>
        </w:rPr>
        <w:t>surveillant</w:t>
      </w:r>
      <w:proofErr w:type="spellEnd"/>
      <w:r w:rsidR="009F678E" w:rsidRPr="009F678E">
        <w:rPr>
          <w:rFonts w:asciiTheme="majorHAnsi" w:hAnsiTheme="majorHAnsi" w:cstheme="majorHAnsi"/>
        </w:rPr>
        <w:t xml:space="preserve"> organisation</w:t>
      </w:r>
      <w:r w:rsidR="005F4D76">
        <w:rPr>
          <w:rFonts w:asciiTheme="majorHAnsi" w:hAnsiTheme="majorHAnsi" w:cstheme="majorHAnsi"/>
        </w:rPr>
        <w:t>s</w:t>
      </w:r>
      <w:r w:rsidR="002E399D">
        <w:rPr>
          <w:rFonts w:asciiTheme="majorHAnsi" w:hAnsiTheme="majorHAnsi" w:cstheme="majorHAnsi"/>
        </w:rPr>
        <w:t>. It can be used to identif</w:t>
      </w:r>
      <w:r w:rsidR="009F678E" w:rsidRPr="009F678E">
        <w:rPr>
          <w:rFonts w:asciiTheme="majorHAnsi" w:hAnsiTheme="majorHAnsi" w:cstheme="majorHAnsi"/>
        </w:rPr>
        <w:t>y what type of transparency arrangement we are currently in, and what sort we would like to be in.</w:t>
      </w:r>
    </w:p>
    <w:p w14:paraId="6FA1F711" w14:textId="77777777" w:rsidR="00D77EAD" w:rsidRPr="009F678E" w:rsidRDefault="00D77EAD" w:rsidP="00D77EAD">
      <w:pPr>
        <w:jc w:val="both"/>
        <w:rPr>
          <w:rFonts w:asciiTheme="majorHAnsi" w:hAnsiTheme="majorHAnsi" w:cstheme="majorHAnsi"/>
          <w:b/>
        </w:rPr>
      </w:pPr>
    </w:p>
    <w:p w14:paraId="339046A1" w14:textId="7BEFE0C1" w:rsidR="00D77EAD" w:rsidRPr="009F678E" w:rsidRDefault="009F678E" w:rsidP="00D77EAD">
      <w:pPr>
        <w:jc w:val="both"/>
        <w:rPr>
          <w:rFonts w:asciiTheme="majorHAnsi" w:hAnsiTheme="majorHAnsi" w:cstheme="majorHAnsi"/>
        </w:rPr>
      </w:pPr>
      <w:r w:rsidRPr="009F678E">
        <w:rPr>
          <w:rFonts w:asciiTheme="majorHAnsi" w:hAnsiTheme="majorHAnsi" w:cstheme="majorHAnsi"/>
        </w:rPr>
        <w:t xml:space="preserve">Using the advertising industry practice of creative briefs, </w:t>
      </w:r>
      <w:hyperlink r:id="rId18" w:history="1">
        <w:r w:rsidR="00D77EAD" w:rsidRPr="009F678E">
          <w:rPr>
            <w:rStyle w:val="Hyperlink"/>
            <w:rFonts w:asciiTheme="majorHAnsi" w:hAnsiTheme="majorHAnsi" w:cstheme="majorHAnsi"/>
            <w:b/>
          </w:rPr>
          <w:t>Andrew McStay</w:t>
        </w:r>
      </w:hyperlink>
      <w:r w:rsidR="00D77EAD" w:rsidRPr="009F678E">
        <w:rPr>
          <w:rFonts w:asciiTheme="majorHAnsi" w:hAnsiTheme="majorHAnsi" w:cstheme="majorHAnsi"/>
          <w:b/>
        </w:rPr>
        <w:t xml:space="preserve"> </w:t>
      </w:r>
      <w:r w:rsidRPr="009F678E">
        <w:rPr>
          <w:rFonts w:asciiTheme="majorHAnsi" w:hAnsiTheme="majorHAnsi" w:cstheme="majorHAnsi"/>
        </w:rPr>
        <w:t>then</w:t>
      </w:r>
      <w:r w:rsidRPr="009F678E">
        <w:rPr>
          <w:rFonts w:asciiTheme="majorHAnsi" w:hAnsiTheme="majorHAnsi" w:cstheme="majorHAnsi"/>
          <w:b/>
        </w:rPr>
        <w:t xml:space="preserve"> </w:t>
      </w:r>
      <w:r w:rsidRPr="009F678E">
        <w:rPr>
          <w:rFonts w:asciiTheme="majorHAnsi" w:hAnsiTheme="majorHAnsi" w:cstheme="majorHAnsi"/>
        </w:rPr>
        <w:t>led the group in the difficult task of focusing down on what core messages we felt the public and po</w:t>
      </w:r>
      <w:r w:rsidR="002E399D">
        <w:rPr>
          <w:rFonts w:asciiTheme="majorHAnsi" w:hAnsiTheme="majorHAnsi" w:cstheme="majorHAnsi"/>
        </w:rPr>
        <w:t>licy-makers most needed to hear</w:t>
      </w:r>
      <w:r w:rsidRPr="009F678E">
        <w:rPr>
          <w:rFonts w:asciiTheme="majorHAnsi" w:hAnsiTheme="majorHAnsi" w:cstheme="majorHAnsi"/>
        </w:rPr>
        <w:t xml:space="preserve">. </w:t>
      </w:r>
      <w:r w:rsidR="00605F9C" w:rsidRPr="009F678E">
        <w:rPr>
          <w:rFonts w:asciiTheme="majorHAnsi" w:hAnsiTheme="majorHAnsi" w:cstheme="majorHAnsi"/>
        </w:rPr>
        <w:t xml:space="preserve">There was a detailed discussion about whether our messages should be targeted at the general public, many of whom may not be engaged in these issues, or at a section of the public which already harbours some </w:t>
      </w:r>
      <w:r w:rsidR="00605F9C" w:rsidRPr="009F678E">
        <w:rPr>
          <w:rFonts w:asciiTheme="majorHAnsi" w:hAnsiTheme="majorHAnsi" w:cstheme="majorHAnsi"/>
          <w:lang w:val="en-US"/>
        </w:rPr>
        <w:t>disquiet about surveillance but do</w:t>
      </w:r>
      <w:r w:rsidR="00916B4C" w:rsidRPr="009F678E">
        <w:rPr>
          <w:rFonts w:asciiTheme="majorHAnsi" w:hAnsiTheme="majorHAnsi" w:cstheme="majorHAnsi"/>
          <w:lang w:val="en-US"/>
        </w:rPr>
        <w:t>es</w:t>
      </w:r>
      <w:r w:rsidR="00605F9C" w:rsidRPr="009F678E">
        <w:rPr>
          <w:rFonts w:asciiTheme="majorHAnsi" w:hAnsiTheme="majorHAnsi" w:cstheme="majorHAnsi"/>
          <w:lang w:val="en-US"/>
        </w:rPr>
        <w:t xml:space="preserve"> not understand what is taking place. All </w:t>
      </w:r>
      <w:r w:rsidR="00916B4C" w:rsidRPr="009F678E">
        <w:rPr>
          <w:rFonts w:asciiTheme="majorHAnsi" w:hAnsiTheme="majorHAnsi" w:cstheme="majorHAnsi"/>
          <w:lang w:val="en-US"/>
        </w:rPr>
        <w:t>agreed</w:t>
      </w:r>
      <w:r w:rsidR="00605F9C" w:rsidRPr="009F678E">
        <w:rPr>
          <w:rFonts w:asciiTheme="majorHAnsi" w:hAnsiTheme="majorHAnsi" w:cstheme="majorHAnsi"/>
          <w:lang w:val="en-US"/>
        </w:rPr>
        <w:t xml:space="preserve"> that the tone of these messages would be important, in particular the need to avoid coming across as paternalistic or patronizing to the public. The tone to be taken with policy</w:t>
      </w:r>
      <w:r w:rsidR="00AD29CF">
        <w:rPr>
          <w:rFonts w:asciiTheme="majorHAnsi" w:hAnsiTheme="majorHAnsi" w:cstheme="majorHAnsi"/>
          <w:lang w:val="en-US"/>
        </w:rPr>
        <w:t xml:space="preserve"> makers was more controversial:</w:t>
      </w:r>
      <w:r w:rsidR="00605F9C" w:rsidRPr="009F678E">
        <w:rPr>
          <w:rFonts w:asciiTheme="majorHAnsi" w:hAnsiTheme="majorHAnsi" w:cstheme="majorHAnsi"/>
          <w:lang w:val="en-US"/>
        </w:rPr>
        <w:t xml:space="preserve"> some participants </w:t>
      </w:r>
      <w:proofErr w:type="spellStart"/>
      <w:r w:rsidR="00605F9C" w:rsidRPr="009F678E">
        <w:rPr>
          <w:rFonts w:asciiTheme="majorHAnsi" w:hAnsiTheme="majorHAnsi" w:cstheme="majorHAnsi"/>
          <w:lang w:val="en-US"/>
        </w:rPr>
        <w:t>favoured</w:t>
      </w:r>
      <w:proofErr w:type="spellEnd"/>
      <w:r w:rsidR="00605F9C" w:rsidRPr="009F678E">
        <w:rPr>
          <w:rFonts w:asciiTheme="majorHAnsi" w:hAnsiTheme="majorHAnsi" w:cstheme="majorHAnsi"/>
          <w:lang w:val="en-US"/>
        </w:rPr>
        <w:t xml:space="preserve"> a non-confrontational, solutions-oriented approach, while others felt that </w:t>
      </w:r>
      <w:r w:rsidR="00A94A51" w:rsidRPr="009F678E">
        <w:rPr>
          <w:rFonts w:asciiTheme="majorHAnsi" w:hAnsiTheme="majorHAnsi" w:cstheme="majorHAnsi"/>
          <w:lang w:val="en-US"/>
        </w:rPr>
        <w:t xml:space="preserve">the message should be strong, and that confrontation need not be avoided at all costs. </w:t>
      </w:r>
    </w:p>
    <w:p w14:paraId="40F26747" w14:textId="77777777" w:rsidR="00D77EAD" w:rsidRPr="009F678E" w:rsidRDefault="00D77EAD" w:rsidP="003728D0">
      <w:pPr>
        <w:jc w:val="both"/>
        <w:rPr>
          <w:rFonts w:asciiTheme="majorHAnsi" w:hAnsiTheme="majorHAnsi" w:cstheme="majorHAnsi"/>
        </w:rPr>
      </w:pPr>
    </w:p>
    <w:p w14:paraId="2E70F200" w14:textId="008BD43A" w:rsidR="0020208F" w:rsidRPr="009F678E" w:rsidRDefault="0020208F" w:rsidP="0020208F">
      <w:pPr>
        <w:jc w:val="both"/>
        <w:rPr>
          <w:rFonts w:asciiTheme="majorHAnsi" w:hAnsiTheme="majorHAnsi"/>
          <w:b/>
          <w:u w:val="single"/>
        </w:rPr>
      </w:pPr>
      <w:r w:rsidRPr="009F678E">
        <w:rPr>
          <w:rFonts w:asciiTheme="majorHAnsi" w:hAnsiTheme="majorHAnsi"/>
          <w:b/>
          <w:u w:val="single"/>
        </w:rPr>
        <w:t xml:space="preserve">Roundtable 1 – explaining </w:t>
      </w:r>
      <w:r w:rsidR="009F678E" w:rsidRPr="009F678E">
        <w:rPr>
          <w:rFonts w:asciiTheme="majorHAnsi" w:hAnsiTheme="majorHAnsi"/>
          <w:b/>
          <w:u w:val="single"/>
        </w:rPr>
        <w:t xml:space="preserve">complex </w:t>
      </w:r>
      <w:r w:rsidRPr="009F678E">
        <w:rPr>
          <w:rFonts w:asciiTheme="majorHAnsi" w:hAnsiTheme="majorHAnsi"/>
          <w:b/>
          <w:u w:val="single"/>
        </w:rPr>
        <w:t>security</w:t>
      </w:r>
      <w:r w:rsidR="009F678E" w:rsidRPr="009F678E">
        <w:rPr>
          <w:rFonts w:asciiTheme="majorHAnsi" w:hAnsiTheme="majorHAnsi"/>
          <w:b/>
          <w:u w:val="single"/>
        </w:rPr>
        <w:t>, privacy</w:t>
      </w:r>
      <w:r w:rsidRPr="009F678E">
        <w:rPr>
          <w:rFonts w:asciiTheme="majorHAnsi" w:hAnsiTheme="majorHAnsi"/>
          <w:b/>
          <w:u w:val="single"/>
        </w:rPr>
        <w:t xml:space="preserve"> </w:t>
      </w:r>
      <w:r w:rsidR="009F678E" w:rsidRPr="009F678E">
        <w:rPr>
          <w:rFonts w:asciiTheme="majorHAnsi" w:hAnsiTheme="majorHAnsi"/>
          <w:b/>
          <w:u w:val="single"/>
        </w:rPr>
        <w:t>&amp;</w:t>
      </w:r>
      <w:r w:rsidRPr="009F678E">
        <w:rPr>
          <w:rFonts w:asciiTheme="majorHAnsi" w:hAnsiTheme="majorHAnsi"/>
          <w:b/>
          <w:u w:val="single"/>
        </w:rPr>
        <w:t xml:space="preserve"> transparency practices </w:t>
      </w:r>
      <w:r w:rsidR="0042790C" w:rsidRPr="009F678E">
        <w:rPr>
          <w:rFonts w:asciiTheme="majorHAnsi" w:hAnsiTheme="majorHAnsi"/>
          <w:b/>
          <w:u w:val="single"/>
        </w:rPr>
        <w:t>to publics</w:t>
      </w:r>
    </w:p>
    <w:p w14:paraId="653EAACB" w14:textId="6771FF47" w:rsidR="006B4ADD" w:rsidRPr="009F678E" w:rsidRDefault="0020208F" w:rsidP="0020208F">
      <w:pPr>
        <w:jc w:val="both"/>
        <w:rPr>
          <w:rFonts w:asciiTheme="majorHAnsi" w:hAnsiTheme="majorHAnsi"/>
        </w:rPr>
      </w:pPr>
      <w:r w:rsidRPr="009F678E">
        <w:rPr>
          <w:rFonts w:asciiTheme="majorHAnsi" w:hAnsiTheme="majorHAnsi"/>
        </w:rPr>
        <w:t>This examined how creative techniques can be utilised to explain complex practices</w:t>
      </w:r>
      <w:r w:rsidR="00836450" w:rsidRPr="009F678E">
        <w:rPr>
          <w:rFonts w:asciiTheme="majorHAnsi" w:hAnsiTheme="majorHAnsi"/>
        </w:rPr>
        <w:t xml:space="preserve"> of data </w:t>
      </w:r>
      <w:proofErr w:type="spellStart"/>
      <w:r w:rsidR="00836450" w:rsidRPr="009F678E">
        <w:rPr>
          <w:rFonts w:asciiTheme="majorHAnsi" w:hAnsiTheme="majorHAnsi"/>
        </w:rPr>
        <w:t>sur</w:t>
      </w:r>
      <w:proofErr w:type="spellEnd"/>
      <w:r w:rsidR="00836450" w:rsidRPr="009F678E">
        <w:rPr>
          <w:rFonts w:asciiTheme="majorHAnsi" w:hAnsiTheme="majorHAnsi"/>
        </w:rPr>
        <w:t>/sous/</w:t>
      </w:r>
      <w:proofErr w:type="spellStart"/>
      <w:r w:rsidR="00836450" w:rsidRPr="009F678E">
        <w:rPr>
          <w:rFonts w:asciiTheme="majorHAnsi" w:hAnsiTheme="majorHAnsi"/>
        </w:rPr>
        <w:t>veillance</w:t>
      </w:r>
      <w:proofErr w:type="spellEnd"/>
      <w:r w:rsidRPr="009F678E">
        <w:rPr>
          <w:rFonts w:asciiTheme="majorHAnsi" w:hAnsiTheme="majorHAnsi"/>
        </w:rPr>
        <w:t xml:space="preserve"> to the public and policymakers. </w:t>
      </w:r>
      <w:hyperlink r:id="rId19" w:history="1">
        <w:r w:rsidRPr="009F678E">
          <w:rPr>
            <w:rStyle w:val="Hyperlink"/>
            <w:rFonts w:asciiTheme="majorHAnsi" w:hAnsiTheme="majorHAnsi"/>
            <w:b/>
          </w:rPr>
          <w:t>Ronan Devlin</w:t>
        </w:r>
      </w:hyperlink>
      <w:r w:rsidRPr="009F678E">
        <w:rPr>
          <w:rFonts w:asciiTheme="majorHAnsi" w:hAnsiTheme="majorHAnsi"/>
        </w:rPr>
        <w:t xml:space="preserve"> began by discussing the art project </w:t>
      </w:r>
      <w:r w:rsidR="00A94A51" w:rsidRPr="009F678E">
        <w:rPr>
          <w:rFonts w:asciiTheme="majorHAnsi" w:hAnsiTheme="majorHAnsi"/>
          <w:i/>
        </w:rPr>
        <w:t>V</w:t>
      </w:r>
      <w:r w:rsidRPr="009F678E">
        <w:rPr>
          <w:rFonts w:asciiTheme="majorHAnsi" w:hAnsiTheme="majorHAnsi"/>
          <w:i/>
        </w:rPr>
        <w:t>eillance</w:t>
      </w:r>
      <w:r w:rsidR="00A94A51" w:rsidRPr="009F678E">
        <w:rPr>
          <w:rFonts w:asciiTheme="majorHAnsi" w:hAnsiTheme="majorHAnsi"/>
        </w:rPr>
        <w:t>,</w:t>
      </w:r>
      <w:r w:rsidRPr="009F678E">
        <w:rPr>
          <w:rFonts w:asciiTheme="majorHAnsi" w:hAnsiTheme="majorHAnsi"/>
        </w:rPr>
        <w:t xml:space="preserve"> which demonstrates the problems of data ownership by physically showing </w:t>
      </w:r>
      <w:r w:rsidR="00836450" w:rsidRPr="009F678E">
        <w:rPr>
          <w:rFonts w:asciiTheme="majorHAnsi" w:hAnsiTheme="majorHAnsi"/>
        </w:rPr>
        <w:t xml:space="preserve">people </w:t>
      </w:r>
      <w:r w:rsidRPr="009F678E">
        <w:rPr>
          <w:rFonts w:asciiTheme="majorHAnsi" w:hAnsiTheme="majorHAnsi"/>
        </w:rPr>
        <w:t xml:space="preserve">what </w:t>
      </w:r>
      <w:proofErr w:type="gramStart"/>
      <w:r w:rsidRPr="009F678E">
        <w:rPr>
          <w:rFonts w:asciiTheme="majorHAnsi" w:hAnsiTheme="majorHAnsi"/>
        </w:rPr>
        <w:t>information</w:t>
      </w:r>
      <w:proofErr w:type="gramEnd"/>
      <w:r w:rsidRPr="009F678E">
        <w:rPr>
          <w:rFonts w:asciiTheme="majorHAnsi" w:hAnsiTheme="majorHAnsi"/>
        </w:rPr>
        <w:t xml:space="preserve"> is collected </w:t>
      </w:r>
      <w:r w:rsidR="00836450" w:rsidRPr="009F678E">
        <w:rPr>
          <w:rFonts w:asciiTheme="majorHAnsi" w:hAnsiTheme="majorHAnsi"/>
        </w:rPr>
        <w:t xml:space="preserve">from their mobile devices </w:t>
      </w:r>
      <w:r w:rsidR="00AD29CF">
        <w:rPr>
          <w:rFonts w:asciiTheme="majorHAnsi" w:hAnsiTheme="majorHAnsi"/>
        </w:rPr>
        <w:t>during five</w:t>
      </w:r>
      <w:r w:rsidRPr="009F678E">
        <w:rPr>
          <w:rFonts w:asciiTheme="majorHAnsi" w:hAnsiTheme="majorHAnsi"/>
        </w:rPr>
        <w:t xml:space="preserve"> minutes of online browsing. </w:t>
      </w:r>
      <w:r w:rsidR="00836450" w:rsidRPr="009F678E">
        <w:rPr>
          <w:rFonts w:asciiTheme="majorHAnsi" w:hAnsiTheme="majorHAnsi"/>
        </w:rPr>
        <w:t>Of course,</w:t>
      </w:r>
      <w:r w:rsidRPr="009F678E">
        <w:rPr>
          <w:rFonts w:asciiTheme="majorHAnsi" w:hAnsiTheme="majorHAnsi"/>
        </w:rPr>
        <w:t xml:space="preserve"> there are ethical dilemmas </w:t>
      </w:r>
      <w:r w:rsidR="00836450" w:rsidRPr="009F678E">
        <w:rPr>
          <w:rFonts w:asciiTheme="majorHAnsi" w:hAnsiTheme="majorHAnsi"/>
        </w:rPr>
        <w:t xml:space="preserve">involved in such a project, and these </w:t>
      </w:r>
      <w:r w:rsidRPr="009F678E">
        <w:rPr>
          <w:rFonts w:asciiTheme="majorHAnsi" w:hAnsiTheme="majorHAnsi"/>
        </w:rPr>
        <w:t xml:space="preserve">were also clearly considered. </w:t>
      </w:r>
      <w:r w:rsidR="00A94A51" w:rsidRPr="009F678E">
        <w:rPr>
          <w:rFonts w:asciiTheme="majorHAnsi" w:hAnsiTheme="majorHAnsi"/>
        </w:rPr>
        <w:t xml:space="preserve">More broadly, the </w:t>
      </w:r>
      <w:r w:rsidR="00A94A51" w:rsidRPr="009F678E">
        <w:rPr>
          <w:rFonts w:asciiTheme="majorHAnsi" w:hAnsiTheme="majorHAnsi"/>
          <w:i/>
        </w:rPr>
        <w:t xml:space="preserve">Veillance </w:t>
      </w:r>
      <w:r w:rsidR="00A94A51" w:rsidRPr="009F678E">
        <w:rPr>
          <w:rFonts w:asciiTheme="majorHAnsi" w:hAnsiTheme="majorHAnsi"/>
        </w:rPr>
        <w:t>project highlights the role of art in addressing the themes of this seminar series: art can render an</w:t>
      </w:r>
      <w:r w:rsidR="002E4094">
        <w:rPr>
          <w:rFonts w:asciiTheme="majorHAnsi" w:hAnsiTheme="majorHAnsi"/>
        </w:rPr>
        <w:t xml:space="preserve"> abstract</w:t>
      </w:r>
      <w:r w:rsidR="00A94A51" w:rsidRPr="009F678E">
        <w:rPr>
          <w:rFonts w:asciiTheme="majorHAnsi" w:hAnsiTheme="majorHAnsi"/>
        </w:rPr>
        <w:t xml:space="preserve"> idea (such as data</w:t>
      </w:r>
      <w:r w:rsidR="002E4094">
        <w:rPr>
          <w:rFonts w:asciiTheme="majorHAnsi" w:hAnsiTheme="majorHAnsi"/>
        </w:rPr>
        <w:t xml:space="preserve"> flows</w:t>
      </w:r>
      <w:r w:rsidR="00A94A51" w:rsidRPr="009F678E">
        <w:rPr>
          <w:rFonts w:asciiTheme="majorHAnsi" w:hAnsiTheme="majorHAnsi"/>
        </w:rPr>
        <w:t xml:space="preserve">) visible, </w:t>
      </w:r>
      <w:r w:rsidR="009D51AA">
        <w:rPr>
          <w:rFonts w:asciiTheme="majorHAnsi" w:hAnsiTheme="majorHAnsi"/>
        </w:rPr>
        <w:t xml:space="preserve">make it comprehensible, </w:t>
      </w:r>
      <w:r w:rsidR="00A94A51" w:rsidRPr="009F678E">
        <w:rPr>
          <w:rFonts w:asciiTheme="majorHAnsi" w:hAnsiTheme="majorHAnsi"/>
        </w:rPr>
        <w:t>and provide a place of safe simulation</w:t>
      </w:r>
      <w:r w:rsidR="006B4ADD" w:rsidRPr="009F678E">
        <w:rPr>
          <w:rFonts w:asciiTheme="majorHAnsi" w:hAnsiTheme="majorHAnsi"/>
        </w:rPr>
        <w:t>.</w:t>
      </w:r>
      <w:r w:rsidR="0042790C" w:rsidRPr="009F678E">
        <w:rPr>
          <w:rFonts w:asciiTheme="majorHAnsi" w:hAnsiTheme="majorHAnsi"/>
        </w:rPr>
        <w:t xml:space="preserve"> </w:t>
      </w:r>
    </w:p>
    <w:p w14:paraId="3C8E3C95" w14:textId="77777777" w:rsidR="00AD29CF" w:rsidRDefault="00AD29CF" w:rsidP="0020208F">
      <w:pPr>
        <w:jc w:val="both"/>
        <w:rPr>
          <w:rFonts w:asciiTheme="majorHAnsi" w:hAnsiTheme="majorHAnsi"/>
        </w:rPr>
      </w:pPr>
    </w:p>
    <w:p w14:paraId="695D58C0" w14:textId="4A5EAAC4" w:rsidR="00A94A51" w:rsidRDefault="0020208F" w:rsidP="0020208F">
      <w:pPr>
        <w:jc w:val="both"/>
        <w:rPr>
          <w:rFonts w:asciiTheme="majorHAnsi" w:hAnsiTheme="majorHAnsi"/>
        </w:rPr>
      </w:pPr>
      <w:r w:rsidRPr="009F678E">
        <w:rPr>
          <w:rFonts w:asciiTheme="majorHAnsi" w:hAnsiTheme="majorHAnsi"/>
        </w:rPr>
        <w:t>By focusing upon t</w:t>
      </w:r>
      <w:r w:rsidR="006B4ADD" w:rsidRPr="009F678E">
        <w:rPr>
          <w:rFonts w:asciiTheme="majorHAnsi" w:hAnsiTheme="majorHAnsi"/>
        </w:rPr>
        <w:t xml:space="preserve">he </w:t>
      </w:r>
      <w:proofErr w:type="gramStart"/>
      <w:r w:rsidR="006B4ADD" w:rsidRPr="009F678E">
        <w:rPr>
          <w:rFonts w:asciiTheme="majorHAnsi" w:hAnsiTheme="majorHAnsi"/>
        </w:rPr>
        <w:t>internet</w:t>
      </w:r>
      <w:proofErr w:type="gramEnd"/>
      <w:r w:rsidR="006B4ADD" w:rsidRPr="009F678E">
        <w:rPr>
          <w:rFonts w:asciiTheme="majorHAnsi" w:hAnsiTheme="majorHAnsi"/>
        </w:rPr>
        <w:t xml:space="preserve"> of things, such as</w:t>
      </w:r>
      <w:r w:rsidRPr="009F678E">
        <w:rPr>
          <w:rFonts w:asciiTheme="majorHAnsi" w:hAnsiTheme="majorHAnsi"/>
        </w:rPr>
        <w:t xml:space="preserve"> </w:t>
      </w:r>
      <w:r w:rsidR="006B4ADD" w:rsidRPr="009F678E">
        <w:rPr>
          <w:rFonts w:asciiTheme="majorHAnsi" w:hAnsiTheme="majorHAnsi"/>
        </w:rPr>
        <w:t xml:space="preserve">‘smart’ home </w:t>
      </w:r>
      <w:r w:rsidRPr="009F678E">
        <w:rPr>
          <w:rFonts w:asciiTheme="majorHAnsi" w:hAnsiTheme="majorHAnsi"/>
        </w:rPr>
        <w:t>system</w:t>
      </w:r>
      <w:r w:rsidR="006B4ADD" w:rsidRPr="009F678E">
        <w:rPr>
          <w:rFonts w:asciiTheme="majorHAnsi" w:hAnsiTheme="majorHAnsi"/>
        </w:rPr>
        <w:t>s which</w:t>
      </w:r>
      <w:r w:rsidRPr="009F678E">
        <w:rPr>
          <w:rFonts w:asciiTheme="majorHAnsi" w:hAnsiTheme="majorHAnsi"/>
        </w:rPr>
        <w:t xml:space="preserve"> raise multiple legal and political questions, </w:t>
      </w:r>
      <w:hyperlink r:id="rId20" w:history="1">
        <w:r w:rsidRPr="009F678E">
          <w:rPr>
            <w:rStyle w:val="Hyperlink"/>
            <w:rFonts w:asciiTheme="majorHAnsi" w:hAnsiTheme="majorHAnsi"/>
            <w:b/>
          </w:rPr>
          <w:t>Lachlan Urquhart</w:t>
        </w:r>
      </w:hyperlink>
      <w:r w:rsidRPr="009F678E">
        <w:rPr>
          <w:rFonts w:asciiTheme="majorHAnsi" w:hAnsiTheme="majorHAnsi"/>
        </w:rPr>
        <w:t xml:space="preserve"> discussed </w:t>
      </w:r>
      <w:r w:rsidR="002277DD" w:rsidRPr="009F678E">
        <w:rPr>
          <w:rFonts w:asciiTheme="majorHAnsi" w:hAnsiTheme="majorHAnsi"/>
        </w:rPr>
        <w:t>‘</w:t>
      </w:r>
      <w:r w:rsidRPr="009F678E">
        <w:rPr>
          <w:rFonts w:asciiTheme="majorHAnsi" w:hAnsiTheme="majorHAnsi"/>
        </w:rPr>
        <w:t>privacy by design</w:t>
      </w:r>
      <w:r w:rsidR="002277DD" w:rsidRPr="009F678E">
        <w:rPr>
          <w:rFonts w:asciiTheme="majorHAnsi" w:hAnsiTheme="majorHAnsi"/>
        </w:rPr>
        <w:t>’ (which makes encryption of data the default)</w:t>
      </w:r>
      <w:r w:rsidRPr="009F678E">
        <w:rPr>
          <w:rFonts w:asciiTheme="majorHAnsi" w:hAnsiTheme="majorHAnsi"/>
        </w:rPr>
        <w:t xml:space="preserve"> and how this can be made clearer to those </w:t>
      </w:r>
      <w:r w:rsidR="002277DD" w:rsidRPr="009F678E">
        <w:rPr>
          <w:rFonts w:asciiTheme="majorHAnsi" w:hAnsiTheme="majorHAnsi"/>
        </w:rPr>
        <w:t xml:space="preserve">engineers </w:t>
      </w:r>
      <w:r w:rsidRPr="009F678E">
        <w:rPr>
          <w:rFonts w:asciiTheme="majorHAnsi" w:hAnsiTheme="majorHAnsi"/>
        </w:rPr>
        <w:t>creating such systems. Although this had proved difficult, pri</w:t>
      </w:r>
      <w:r w:rsidR="00262478" w:rsidRPr="009F678E">
        <w:rPr>
          <w:rFonts w:asciiTheme="majorHAnsi" w:hAnsiTheme="majorHAnsi"/>
        </w:rPr>
        <w:t>vacy by design playing cards have</w:t>
      </w:r>
      <w:r w:rsidRPr="009F678E">
        <w:rPr>
          <w:rFonts w:asciiTheme="majorHAnsi" w:hAnsiTheme="majorHAnsi"/>
        </w:rPr>
        <w:t xml:space="preserve"> been created, allowing complex legal terms to be fully understood. </w:t>
      </w:r>
    </w:p>
    <w:p w14:paraId="37B6EC55" w14:textId="77777777" w:rsidR="00AD29CF" w:rsidRPr="009F678E" w:rsidRDefault="00AD29CF" w:rsidP="0020208F">
      <w:pPr>
        <w:jc w:val="both"/>
        <w:rPr>
          <w:rFonts w:asciiTheme="majorHAnsi" w:hAnsiTheme="majorHAnsi"/>
        </w:rPr>
      </w:pPr>
    </w:p>
    <w:p w14:paraId="3E00B05C" w14:textId="130C7270" w:rsidR="0020208F" w:rsidRPr="009F678E" w:rsidRDefault="00262478" w:rsidP="0020208F">
      <w:pPr>
        <w:jc w:val="both"/>
        <w:rPr>
          <w:rFonts w:asciiTheme="majorHAnsi" w:hAnsiTheme="majorHAnsi"/>
        </w:rPr>
      </w:pPr>
      <w:hyperlink r:id="rId21" w:history="1">
        <w:proofErr w:type="spellStart"/>
        <w:r w:rsidR="0020208F" w:rsidRPr="009F678E">
          <w:rPr>
            <w:rStyle w:val="Hyperlink"/>
            <w:rFonts w:asciiTheme="majorHAnsi" w:hAnsiTheme="majorHAnsi"/>
            <w:b/>
          </w:rPr>
          <w:t>Yuwei</w:t>
        </w:r>
        <w:proofErr w:type="spellEnd"/>
        <w:r w:rsidR="0020208F" w:rsidRPr="009F678E">
          <w:rPr>
            <w:rStyle w:val="Hyperlink"/>
            <w:rFonts w:asciiTheme="majorHAnsi" w:hAnsiTheme="majorHAnsi"/>
            <w:b/>
          </w:rPr>
          <w:t xml:space="preserve"> Lin</w:t>
        </w:r>
      </w:hyperlink>
      <w:r w:rsidR="0020208F" w:rsidRPr="009F678E">
        <w:rPr>
          <w:rFonts w:asciiTheme="majorHAnsi" w:hAnsiTheme="majorHAnsi"/>
        </w:rPr>
        <w:t xml:space="preserve"> showed videos her Undergraduate students had created about privacy and surveillance, highlighting how students express awareness of such themes.  </w:t>
      </w:r>
      <w:r w:rsidR="002277DD" w:rsidRPr="009F678E">
        <w:rPr>
          <w:rFonts w:asciiTheme="majorHAnsi" w:hAnsiTheme="majorHAnsi"/>
        </w:rPr>
        <w:t xml:space="preserve">She reflected on how the students’ attitudes towards privacy, surveillance, and security were impacted by their engagement with these issues through their studies. </w:t>
      </w:r>
    </w:p>
    <w:p w14:paraId="3B7A8267" w14:textId="77777777" w:rsidR="0020208F" w:rsidRPr="009F678E" w:rsidRDefault="0020208F" w:rsidP="0020208F">
      <w:pPr>
        <w:jc w:val="both"/>
        <w:rPr>
          <w:rFonts w:asciiTheme="majorHAnsi" w:hAnsiTheme="majorHAnsi"/>
        </w:rPr>
      </w:pPr>
    </w:p>
    <w:p w14:paraId="3850524B" w14:textId="1D60CDBF" w:rsidR="002277DD" w:rsidRPr="009F678E" w:rsidRDefault="009F678E" w:rsidP="0020208F">
      <w:pPr>
        <w:jc w:val="both"/>
        <w:rPr>
          <w:rFonts w:asciiTheme="majorHAnsi" w:hAnsiTheme="majorHAnsi"/>
          <w:b/>
          <w:u w:val="single"/>
        </w:rPr>
      </w:pPr>
      <w:r w:rsidRPr="009F678E">
        <w:rPr>
          <w:rFonts w:asciiTheme="majorHAnsi" w:hAnsiTheme="majorHAnsi"/>
          <w:b/>
          <w:u w:val="single"/>
        </w:rPr>
        <w:t>Roundtable 2 – Towards a</w:t>
      </w:r>
      <w:r w:rsidR="0020208F" w:rsidRPr="009F678E">
        <w:rPr>
          <w:rFonts w:asciiTheme="majorHAnsi" w:hAnsiTheme="majorHAnsi"/>
          <w:b/>
          <w:u w:val="single"/>
        </w:rPr>
        <w:t>n effective communication</w:t>
      </w:r>
      <w:r w:rsidRPr="009F678E">
        <w:rPr>
          <w:rFonts w:asciiTheme="majorHAnsi" w:hAnsiTheme="majorHAnsi"/>
          <w:b/>
          <w:u w:val="single"/>
        </w:rPr>
        <w:t>s</w:t>
      </w:r>
      <w:r w:rsidR="0020208F" w:rsidRPr="009F678E">
        <w:rPr>
          <w:rFonts w:asciiTheme="majorHAnsi" w:hAnsiTheme="majorHAnsi"/>
          <w:b/>
          <w:u w:val="single"/>
        </w:rPr>
        <w:t xml:space="preserve"> plan </w:t>
      </w:r>
    </w:p>
    <w:p w14:paraId="49E49214" w14:textId="5F2864DE" w:rsidR="0020208F" w:rsidRPr="009F678E" w:rsidRDefault="004F2D75" w:rsidP="0020208F">
      <w:pPr>
        <w:jc w:val="both"/>
        <w:rPr>
          <w:rFonts w:asciiTheme="majorHAnsi" w:hAnsiTheme="majorHAnsi"/>
        </w:rPr>
      </w:pPr>
      <w:hyperlink r:id="rId22" w:history="1">
        <w:r w:rsidR="0020208F" w:rsidRPr="009F678E">
          <w:rPr>
            <w:rStyle w:val="Hyperlink"/>
            <w:rFonts w:asciiTheme="majorHAnsi" w:hAnsiTheme="majorHAnsi"/>
            <w:b/>
          </w:rPr>
          <w:t xml:space="preserve">Paul </w:t>
        </w:r>
        <w:proofErr w:type="spellStart"/>
        <w:r w:rsidR="0020208F" w:rsidRPr="009F678E">
          <w:rPr>
            <w:rStyle w:val="Hyperlink"/>
            <w:rFonts w:asciiTheme="majorHAnsi" w:hAnsiTheme="majorHAnsi"/>
            <w:b/>
          </w:rPr>
          <w:t>Lashmar</w:t>
        </w:r>
        <w:proofErr w:type="spellEnd"/>
      </w:hyperlink>
      <w:r w:rsidR="0020208F" w:rsidRPr="009F678E">
        <w:rPr>
          <w:rFonts w:asciiTheme="majorHAnsi" w:hAnsiTheme="majorHAnsi"/>
        </w:rPr>
        <w:t xml:space="preserve"> discussed </w:t>
      </w:r>
      <w:r w:rsidR="002277DD" w:rsidRPr="009F678E">
        <w:rPr>
          <w:rFonts w:asciiTheme="majorHAnsi" w:hAnsiTheme="majorHAnsi"/>
        </w:rPr>
        <w:t>the overarching themes of the seminar series from the perspective of Foucault’s ‘power/knowledge’ theoretical framework and Bentham’s Panopticon, amongst others. He discussed how self-censorship and self-monitoring have, in practice, impacted on the right to privacy. E</w:t>
      </w:r>
      <w:r w:rsidR="0020208F" w:rsidRPr="009F678E">
        <w:rPr>
          <w:rFonts w:asciiTheme="majorHAnsi" w:hAnsiTheme="majorHAnsi"/>
        </w:rPr>
        <w:t>ngagement with policy</w:t>
      </w:r>
      <w:r w:rsidR="002277DD" w:rsidRPr="009F678E">
        <w:rPr>
          <w:rFonts w:asciiTheme="majorHAnsi" w:hAnsiTheme="majorHAnsi"/>
        </w:rPr>
        <w:t xml:space="preserve"> </w:t>
      </w:r>
      <w:r w:rsidR="0020208F" w:rsidRPr="009F678E">
        <w:rPr>
          <w:rFonts w:asciiTheme="majorHAnsi" w:hAnsiTheme="majorHAnsi"/>
        </w:rPr>
        <w:t>makers</w:t>
      </w:r>
      <w:r w:rsidR="002277DD" w:rsidRPr="009F678E">
        <w:rPr>
          <w:rFonts w:asciiTheme="majorHAnsi" w:hAnsiTheme="majorHAnsi"/>
        </w:rPr>
        <w:t xml:space="preserve"> and academics from the field of intelligence</w:t>
      </w:r>
      <w:r w:rsidR="0020208F" w:rsidRPr="009F678E">
        <w:rPr>
          <w:rFonts w:asciiTheme="majorHAnsi" w:hAnsiTheme="majorHAnsi"/>
        </w:rPr>
        <w:t xml:space="preserve"> </w:t>
      </w:r>
      <w:r w:rsidR="002277DD" w:rsidRPr="009F678E">
        <w:rPr>
          <w:rFonts w:asciiTheme="majorHAnsi" w:hAnsiTheme="majorHAnsi"/>
        </w:rPr>
        <w:t xml:space="preserve">studies </w:t>
      </w:r>
      <w:r w:rsidR="0020208F" w:rsidRPr="009F678E">
        <w:rPr>
          <w:rFonts w:asciiTheme="majorHAnsi" w:hAnsiTheme="majorHAnsi"/>
        </w:rPr>
        <w:t xml:space="preserve">was </w:t>
      </w:r>
      <w:r w:rsidR="00D716C4" w:rsidRPr="009F678E">
        <w:rPr>
          <w:rFonts w:asciiTheme="majorHAnsi" w:hAnsiTheme="majorHAnsi"/>
        </w:rPr>
        <w:t>discussed</w:t>
      </w:r>
      <w:r w:rsidR="0020208F" w:rsidRPr="009F678E">
        <w:rPr>
          <w:rFonts w:asciiTheme="majorHAnsi" w:hAnsiTheme="majorHAnsi"/>
        </w:rPr>
        <w:t xml:space="preserve"> in detail, </w:t>
      </w:r>
      <w:r w:rsidR="00D716C4" w:rsidRPr="009F678E">
        <w:rPr>
          <w:rFonts w:asciiTheme="majorHAnsi" w:hAnsiTheme="majorHAnsi"/>
        </w:rPr>
        <w:t xml:space="preserve">given </w:t>
      </w:r>
      <w:proofErr w:type="gramStart"/>
      <w:r w:rsidR="00D716C4" w:rsidRPr="009F678E">
        <w:rPr>
          <w:rFonts w:asciiTheme="majorHAnsi" w:hAnsiTheme="majorHAnsi"/>
        </w:rPr>
        <w:t xml:space="preserve">their </w:t>
      </w:r>
      <w:r w:rsidR="0020208F" w:rsidRPr="009F678E">
        <w:rPr>
          <w:rFonts w:asciiTheme="majorHAnsi" w:hAnsiTheme="majorHAnsi"/>
        </w:rPr>
        <w:t xml:space="preserve"> </w:t>
      </w:r>
      <w:r w:rsidR="00D716C4" w:rsidRPr="009F678E">
        <w:rPr>
          <w:rFonts w:asciiTheme="majorHAnsi" w:hAnsiTheme="majorHAnsi"/>
        </w:rPr>
        <w:t>seeming</w:t>
      </w:r>
      <w:proofErr w:type="gramEnd"/>
      <w:r w:rsidR="0020208F" w:rsidRPr="009F678E">
        <w:rPr>
          <w:rFonts w:asciiTheme="majorHAnsi" w:hAnsiTheme="majorHAnsi"/>
        </w:rPr>
        <w:t xml:space="preserve"> unwillingness to engage</w:t>
      </w:r>
      <w:r w:rsidR="00D716C4" w:rsidRPr="009F678E">
        <w:rPr>
          <w:rFonts w:asciiTheme="majorHAnsi" w:hAnsiTheme="majorHAnsi"/>
        </w:rPr>
        <w:t xml:space="preserve"> with outsiders</w:t>
      </w:r>
      <w:r w:rsidR="0020208F" w:rsidRPr="009F678E">
        <w:rPr>
          <w:rFonts w:asciiTheme="majorHAnsi" w:hAnsiTheme="majorHAnsi"/>
        </w:rPr>
        <w:t xml:space="preserve"> </w:t>
      </w:r>
      <w:r w:rsidR="00D716C4" w:rsidRPr="009F678E">
        <w:rPr>
          <w:rFonts w:asciiTheme="majorHAnsi" w:hAnsiTheme="majorHAnsi"/>
        </w:rPr>
        <w:t>on these topics</w:t>
      </w:r>
      <w:r w:rsidR="0020208F" w:rsidRPr="009F678E">
        <w:rPr>
          <w:rFonts w:asciiTheme="majorHAnsi" w:hAnsiTheme="majorHAnsi"/>
        </w:rPr>
        <w:t xml:space="preserve">, suggesting that the importance of </w:t>
      </w:r>
      <w:r w:rsidR="00D716C4" w:rsidRPr="009F678E">
        <w:rPr>
          <w:rFonts w:asciiTheme="majorHAnsi" w:hAnsiTheme="majorHAnsi"/>
        </w:rPr>
        <w:t xml:space="preserve">public </w:t>
      </w:r>
      <w:r w:rsidR="0020208F" w:rsidRPr="009F678E">
        <w:rPr>
          <w:rFonts w:asciiTheme="majorHAnsi" w:hAnsiTheme="majorHAnsi"/>
        </w:rPr>
        <w:t xml:space="preserve">accountability is not necessarily recognised by the Government and Intelligence Services. This </w:t>
      </w:r>
      <w:r w:rsidRPr="009F678E">
        <w:rPr>
          <w:rFonts w:asciiTheme="majorHAnsi" w:hAnsiTheme="majorHAnsi"/>
        </w:rPr>
        <w:t>led to our</w:t>
      </w:r>
      <w:r w:rsidR="0020208F" w:rsidRPr="009F678E">
        <w:rPr>
          <w:rFonts w:asciiTheme="majorHAnsi" w:hAnsiTheme="majorHAnsi"/>
        </w:rPr>
        <w:t xml:space="preserve"> policy recommendation of the establishment of an inter-disciplinary </w:t>
      </w:r>
      <w:r w:rsidR="003964FB" w:rsidRPr="009F678E">
        <w:rPr>
          <w:rFonts w:asciiTheme="majorHAnsi" w:hAnsiTheme="majorHAnsi"/>
          <w:i/>
        </w:rPr>
        <w:t>Centre of A</w:t>
      </w:r>
      <w:r w:rsidR="0020208F" w:rsidRPr="009F678E">
        <w:rPr>
          <w:rFonts w:asciiTheme="majorHAnsi" w:hAnsiTheme="majorHAnsi"/>
          <w:i/>
        </w:rPr>
        <w:t>ccountability</w:t>
      </w:r>
      <w:r w:rsidR="0020208F" w:rsidRPr="009F678E">
        <w:rPr>
          <w:rFonts w:asciiTheme="majorHAnsi" w:hAnsiTheme="majorHAnsi"/>
        </w:rPr>
        <w:t xml:space="preserve"> with the </w:t>
      </w:r>
      <w:r w:rsidR="00D716C4" w:rsidRPr="009F678E">
        <w:rPr>
          <w:rFonts w:asciiTheme="majorHAnsi" w:hAnsiTheme="majorHAnsi"/>
        </w:rPr>
        <w:t>aim of publically</w:t>
      </w:r>
      <w:r w:rsidR="0020208F" w:rsidRPr="009F678E">
        <w:rPr>
          <w:rFonts w:asciiTheme="majorHAnsi" w:hAnsiTheme="majorHAnsi"/>
        </w:rPr>
        <w:t xml:space="preserve"> hold</w:t>
      </w:r>
      <w:r w:rsidR="00D716C4" w:rsidRPr="009F678E">
        <w:rPr>
          <w:rFonts w:asciiTheme="majorHAnsi" w:hAnsiTheme="majorHAnsi"/>
        </w:rPr>
        <w:t>ing</w:t>
      </w:r>
      <w:r w:rsidR="0020208F" w:rsidRPr="009F678E">
        <w:rPr>
          <w:rFonts w:asciiTheme="majorHAnsi" w:hAnsiTheme="majorHAnsi"/>
        </w:rPr>
        <w:t xml:space="preserve"> </w:t>
      </w:r>
      <w:proofErr w:type="spellStart"/>
      <w:r w:rsidR="00D716C4" w:rsidRPr="009F678E">
        <w:rPr>
          <w:rFonts w:asciiTheme="majorHAnsi" w:hAnsiTheme="majorHAnsi"/>
        </w:rPr>
        <w:t>surveillant</w:t>
      </w:r>
      <w:proofErr w:type="spellEnd"/>
      <w:r w:rsidR="00D716C4" w:rsidRPr="009F678E">
        <w:rPr>
          <w:rFonts w:asciiTheme="majorHAnsi" w:hAnsiTheme="majorHAnsi"/>
        </w:rPr>
        <w:t xml:space="preserve"> powers such as </w:t>
      </w:r>
      <w:r w:rsidR="0020208F" w:rsidRPr="009F678E">
        <w:rPr>
          <w:rFonts w:asciiTheme="majorHAnsi" w:hAnsiTheme="majorHAnsi"/>
        </w:rPr>
        <w:t xml:space="preserve">the Intelligence Services to account when required. </w:t>
      </w:r>
    </w:p>
    <w:p w14:paraId="60C4F649" w14:textId="77777777" w:rsidR="00D77EAD" w:rsidRPr="009F678E" w:rsidRDefault="00D77EAD" w:rsidP="0020208F">
      <w:pPr>
        <w:jc w:val="both"/>
        <w:rPr>
          <w:rFonts w:asciiTheme="majorHAnsi" w:hAnsiTheme="majorHAnsi"/>
        </w:rPr>
      </w:pPr>
    </w:p>
    <w:p w14:paraId="7F29335F" w14:textId="676F2B03" w:rsidR="00D77EAD" w:rsidRPr="009F678E" w:rsidRDefault="00D77EAD" w:rsidP="00D77EAD">
      <w:pPr>
        <w:jc w:val="both"/>
        <w:rPr>
          <w:rFonts w:asciiTheme="majorHAnsi" w:hAnsiTheme="majorHAnsi"/>
        </w:rPr>
      </w:pPr>
      <w:r w:rsidRPr="009F678E">
        <w:rPr>
          <w:rFonts w:asciiTheme="majorHAnsi" w:hAnsiTheme="majorHAnsi"/>
        </w:rPr>
        <w:t xml:space="preserve">The roundtable then moved to examine how engagement with the public could occur via </w:t>
      </w:r>
      <w:r w:rsidR="003964FB" w:rsidRPr="009F678E">
        <w:rPr>
          <w:rFonts w:asciiTheme="majorHAnsi" w:hAnsiTheme="majorHAnsi"/>
        </w:rPr>
        <w:t>a</w:t>
      </w:r>
      <w:r w:rsidR="009D51AA">
        <w:rPr>
          <w:rFonts w:asciiTheme="majorHAnsi" w:hAnsiTheme="majorHAnsi"/>
        </w:rPr>
        <w:t>n online</w:t>
      </w:r>
      <w:r w:rsidRPr="009F678E">
        <w:rPr>
          <w:rFonts w:asciiTheme="majorHAnsi" w:hAnsiTheme="majorHAnsi"/>
        </w:rPr>
        <w:t xml:space="preserve"> documentary</w:t>
      </w:r>
      <w:r w:rsidR="002277DD" w:rsidRPr="009F678E">
        <w:rPr>
          <w:rFonts w:asciiTheme="majorHAnsi" w:hAnsiTheme="majorHAnsi"/>
        </w:rPr>
        <w:t>,</w:t>
      </w:r>
      <w:r w:rsidRPr="009F678E">
        <w:rPr>
          <w:rFonts w:asciiTheme="majorHAnsi" w:hAnsiTheme="majorHAnsi"/>
        </w:rPr>
        <w:t xml:space="preserve"> which </w:t>
      </w:r>
      <w:r w:rsidR="002277DD" w:rsidRPr="009F678E">
        <w:rPr>
          <w:rFonts w:asciiTheme="majorHAnsi" w:hAnsiTheme="majorHAnsi"/>
        </w:rPr>
        <w:t xml:space="preserve">is one of the </w:t>
      </w:r>
      <w:r w:rsidR="004F2D75" w:rsidRPr="009F678E">
        <w:rPr>
          <w:rFonts w:asciiTheme="majorHAnsi" w:hAnsiTheme="majorHAnsi"/>
        </w:rPr>
        <w:t xml:space="preserve">promised </w:t>
      </w:r>
      <w:r w:rsidR="009D51AA">
        <w:rPr>
          <w:rFonts w:asciiTheme="majorHAnsi" w:hAnsiTheme="majorHAnsi"/>
        </w:rPr>
        <w:t>outputs of the DATA-PSST Seminar S</w:t>
      </w:r>
      <w:r w:rsidR="002277DD" w:rsidRPr="009F678E">
        <w:rPr>
          <w:rFonts w:asciiTheme="majorHAnsi" w:hAnsiTheme="majorHAnsi"/>
        </w:rPr>
        <w:t>eries</w:t>
      </w:r>
      <w:r w:rsidRPr="009F678E">
        <w:rPr>
          <w:rFonts w:asciiTheme="majorHAnsi" w:hAnsiTheme="majorHAnsi"/>
        </w:rPr>
        <w:t xml:space="preserve">. </w:t>
      </w:r>
      <w:hyperlink r:id="rId23" w:history="1">
        <w:proofErr w:type="spellStart"/>
        <w:r w:rsidRPr="009F678E">
          <w:rPr>
            <w:rStyle w:val="Hyperlink"/>
            <w:rFonts w:asciiTheme="majorHAnsi" w:hAnsiTheme="majorHAnsi"/>
            <w:b/>
          </w:rPr>
          <w:t>Dyfrig</w:t>
        </w:r>
        <w:proofErr w:type="spellEnd"/>
        <w:r w:rsidRPr="009F678E">
          <w:rPr>
            <w:rStyle w:val="Hyperlink"/>
            <w:rFonts w:asciiTheme="majorHAnsi" w:hAnsiTheme="majorHAnsi"/>
            <w:b/>
          </w:rPr>
          <w:t xml:space="preserve"> Jones</w:t>
        </w:r>
      </w:hyperlink>
      <w:r w:rsidRPr="009F678E">
        <w:rPr>
          <w:rFonts w:asciiTheme="majorHAnsi" w:hAnsiTheme="majorHAnsi"/>
        </w:rPr>
        <w:t xml:space="preserve"> highlighted the importance of ensuring that the concepts could be easily transferred to film, have a strong visual identity and would </w:t>
      </w:r>
      <w:r w:rsidR="009B6420" w:rsidRPr="009F678E">
        <w:rPr>
          <w:rFonts w:asciiTheme="majorHAnsi" w:hAnsiTheme="majorHAnsi"/>
        </w:rPr>
        <w:t xml:space="preserve">engage and/or entertain the public. The online nature of the </w:t>
      </w:r>
      <w:r w:rsidRPr="009F678E">
        <w:rPr>
          <w:rFonts w:asciiTheme="majorHAnsi" w:hAnsiTheme="majorHAnsi"/>
        </w:rPr>
        <w:t xml:space="preserve">documentary </w:t>
      </w:r>
      <w:r w:rsidR="009B6420" w:rsidRPr="009F678E">
        <w:rPr>
          <w:rFonts w:asciiTheme="majorHAnsi" w:hAnsiTheme="majorHAnsi"/>
        </w:rPr>
        <w:t xml:space="preserve">lends itself to </w:t>
      </w:r>
      <w:r w:rsidRPr="009F678E">
        <w:rPr>
          <w:rFonts w:asciiTheme="majorHAnsi" w:hAnsiTheme="majorHAnsi"/>
        </w:rPr>
        <w:t xml:space="preserve">a series of </w:t>
      </w:r>
      <w:r w:rsidR="009B6420" w:rsidRPr="009F678E">
        <w:rPr>
          <w:rFonts w:asciiTheme="majorHAnsi" w:hAnsiTheme="majorHAnsi"/>
        </w:rPr>
        <w:t>very short videos and the VINE</w:t>
      </w:r>
      <w:r w:rsidRPr="009F678E">
        <w:rPr>
          <w:rFonts w:asciiTheme="majorHAnsi" w:hAnsiTheme="majorHAnsi"/>
        </w:rPr>
        <w:t xml:space="preserve">. </w:t>
      </w:r>
      <w:r w:rsidR="002277DD" w:rsidRPr="009F678E">
        <w:rPr>
          <w:rFonts w:asciiTheme="majorHAnsi" w:hAnsiTheme="majorHAnsi"/>
        </w:rPr>
        <w:t>There was a discussion on how to identify the key</w:t>
      </w:r>
      <w:r w:rsidR="003964FB" w:rsidRPr="009F678E">
        <w:rPr>
          <w:rFonts w:asciiTheme="majorHAnsi" w:hAnsiTheme="majorHAnsi"/>
        </w:rPr>
        <w:t xml:space="preserve"> themes. O</w:t>
      </w:r>
      <w:r w:rsidR="002277DD" w:rsidRPr="009F678E">
        <w:rPr>
          <w:rFonts w:asciiTheme="majorHAnsi" w:hAnsiTheme="majorHAnsi"/>
        </w:rPr>
        <w:t xml:space="preserve">ne </w:t>
      </w:r>
      <w:r w:rsidR="003964FB" w:rsidRPr="009F678E">
        <w:rPr>
          <w:rFonts w:asciiTheme="majorHAnsi" w:hAnsiTheme="majorHAnsi"/>
        </w:rPr>
        <w:t>idea was</w:t>
      </w:r>
      <w:r w:rsidR="002277DD" w:rsidRPr="009F678E">
        <w:rPr>
          <w:rFonts w:asciiTheme="majorHAnsi" w:hAnsiTheme="majorHAnsi"/>
        </w:rPr>
        <w:t xml:space="preserve"> to link a short video to each of the seminars</w:t>
      </w:r>
      <w:r w:rsidR="009B6420" w:rsidRPr="009F678E">
        <w:rPr>
          <w:rFonts w:asciiTheme="majorHAnsi" w:hAnsiTheme="majorHAnsi"/>
        </w:rPr>
        <w:t>’ themes</w:t>
      </w:r>
      <w:r w:rsidR="002277DD" w:rsidRPr="009F678E">
        <w:rPr>
          <w:rFonts w:asciiTheme="majorHAnsi" w:hAnsiTheme="majorHAnsi"/>
        </w:rPr>
        <w:t xml:space="preserve">; another was for each short video to explore the main themes of the </w:t>
      </w:r>
      <w:r w:rsidR="009B6420" w:rsidRPr="009F678E">
        <w:rPr>
          <w:rFonts w:asciiTheme="majorHAnsi" w:hAnsiTheme="majorHAnsi"/>
        </w:rPr>
        <w:t xml:space="preserve">academic </w:t>
      </w:r>
      <w:r w:rsidR="002277DD" w:rsidRPr="009F678E">
        <w:rPr>
          <w:rFonts w:asciiTheme="majorHAnsi" w:hAnsiTheme="majorHAnsi"/>
        </w:rPr>
        <w:t>papers that will be publish</w:t>
      </w:r>
      <w:r w:rsidR="009B6420" w:rsidRPr="009F678E">
        <w:rPr>
          <w:rFonts w:asciiTheme="majorHAnsi" w:hAnsiTheme="majorHAnsi"/>
        </w:rPr>
        <w:t>ed as part of the special issue;</w:t>
      </w:r>
      <w:r w:rsidR="002277DD" w:rsidRPr="009F678E">
        <w:rPr>
          <w:rFonts w:asciiTheme="majorHAnsi" w:hAnsiTheme="majorHAnsi"/>
        </w:rPr>
        <w:t xml:space="preserve"> a third option was to identify key ideas or themes that </w:t>
      </w:r>
      <w:r w:rsidR="009D51AA">
        <w:rPr>
          <w:rFonts w:asciiTheme="majorHAnsi" w:hAnsiTheme="majorHAnsi"/>
        </w:rPr>
        <w:t>recurr</w:t>
      </w:r>
      <w:bookmarkStart w:id="0" w:name="_GoBack"/>
      <w:bookmarkEnd w:id="0"/>
      <w:r w:rsidR="009D51AA">
        <w:rPr>
          <w:rFonts w:asciiTheme="majorHAnsi" w:hAnsiTheme="majorHAnsi"/>
        </w:rPr>
        <w:t xml:space="preserve">ed across all the seminars </w:t>
      </w:r>
      <w:r w:rsidR="002277DD" w:rsidRPr="009F678E">
        <w:rPr>
          <w:rFonts w:asciiTheme="majorHAnsi" w:hAnsiTheme="majorHAnsi"/>
        </w:rPr>
        <w:t>and use</w:t>
      </w:r>
      <w:r w:rsidR="006B4ADD" w:rsidRPr="009F678E">
        <w:rPr>
          <w:rFonts w:asciiTheme="majorHAnsi" w:hAnsiTheme="majorHAnsi"/>
        </w:rPr>
        <w:t xml:space="preserve"> those as a basis for the documentary</w:t>
      </w:r>
      <w:r w:rsidR="002277DD" w:rsidRPr="009F678E">
        <w:rPr>
          <w:rFonts w:asciiTheme="majorHAnsi" w:hAnsiTheme="majorHAnsi"/>
        </w:rPr>
        <w:t>.</w:t>
      </w:r>
      <w:r w:rsidR="006B4ADD" w:rsidRPr="009F678E">
        <w:rPr>
          <w:rFonts w:asciiTheme="majorHAnsi" w:hAnsiTheme="majorHAnsi"/>
        </w:rPr>
        <w:t xml:space="preserve"> A number of good examples of videos on this theme were shown, </w:t>
      </w:r>
      <w:r w:rsidR="003964FB" w:rsidRPr="009F678E">
        <w:rPr>
          <w:rFonts w:asciiTheme="majorHAnsi" w:hAnsiTheme="majorHAnsi"/>
        </w:rPr>
        <w:t xml:space="preserve">many from NGOs, </w:t>
      </w:r>
      <w:r w:rsidR="006B4ADD" w:rsidRPr="009F678E">
        <w:rPr>
          <w:rFonts w:asciiTheme="majorHAnsi" w:hAnsiTheme="majorHAnsi"/>
        </w:rPr>
        <w:t>and participants ag</w:t>
      </w:r>
      <w:r w:rsidR="009B6420" w:rsidRPr="009F678E">
        <w:rPr>
          <w:rFonts w:asciiTheme="majorHAnsi" w:hAnsiTheme="majorHAnsi"/>
        </w:rPr>
        <w:t xml:space="preserve">reed that the wider DATA-PSST! </w:t>
      </w:r>
      <w:proofErr w:type="gramStart"/>
      <w:r w:rsidR="009B6420" w:rsidRPr="009F678E">
        <w:rPr>
          <w:rFonts w:asciiTheme="majorHAnsi" w:hAnsiTheme="majorHAnsi"/>
        </w:rPr>
        <w:t>c</w:t>
      </w:r>
      <w:r w:rsidR="006B4ADD" w:rsidRPr="009F678E">
        <w:rPr>
          <w:rFonts w:asciiTheme="majorHAnsi" w:hAnsiTheme="majorHAnsi"/>
        </w:rPr>
        <w:t>ommunity</w:t>
      </w:r>
      <w:proofErr w:type="gramEnd"/>
      <w:r w:rsidR="006B4ADD" w:rsidRPr="009F678E">
        <w:rPr>
          <w:rFonts w:asciiTheme="majorHAnsi" w:hAnsiTheme="majorHAnsi"/>
        </w:rPr>
        <w:t xml:space="preserve"> should be engaged to identify key messages/themes that w</w:t>
      </w:r>
      <w:r w:rsidR="009B6420" w:rsidRPr="009F678E">
        <w:rPr>
          <w:rFonts w:asciiTheme="majorHAnsi" w:hAnsiTheme="majorHAnsi"/>
        </w:rPr>
        <w:t>e wish to explore in the video(</w:t>
      </w:r>
      <w:r w:rsidR="006B4ADD" w:rsidRPr="009F678E">
        <w:rPr>
          <w:rFonts w:asciiTheme="majorHAnsi" w:hAnsiTheme="majorHAnsi"/>
        </w:rPr>
        <w:t>s)/</w:t>
      </w:r>
      <w:r w:rsidR="003964FB" w:rsidRPr="009F678E">
        <w:rPr>
          <w:rFonts w:asciiTheme="majorHAnsi" w:hAnsiTheme="majorHAnsi"/>
        </w:rPr>
        <w:t xml:space="preserve">VINE(s), and that a smaller </w:t>
      </w:r>
      <w:r w:rsidR="006B4ADD" w:rsidRPr="009F678E">
        <w:rPr>
          <w:rFonts w:asciiTheme="majorHAnsi" w:hAnsiTheme="majorHAnsi"/>
        </w:rPr>
        <w:lastRenderedPageBreak/>
        <w:t xml:space="preserve">group of interested participants should be involved with editorial/content decisions. </w:t>
      </w:r>
      <w:r w:rsidR="009B6420" w:rsidRPr="009F678E">
        <w:rPr>
          <w:rFonts w:asciiTheme="majorHAnsi" w:hAnsiTheme="majorHAnsi"/>
        </w:rPr>
        <w:t xml:space="preserve"> Another suggestion was to create a competition, predominantly focusing on students aged 15 – 20, which would not only create more short clips on the topic, but also create wider awareness of the themes amongst the younger generation.</w:t>
      </w:r>
      <w:r w:rsidR="0042790C" w:rsidRPr="009F678E">
        <w:rPr>
          <w:rFonts w:asciiTheme="majorHAnsi" w:hAnsiTheme="majorHAnsi"/>
        </w:rPr>
        <w:t xml:space="preserve"> Whatever we decide regarding the specific content and look of the videos and VINE, as </w:t>
      </w:r>
      <w:hyperlink r:id="rId24" w:history="1">
        <w:r w:rsidR="0042790C" w:rsidRPr="009F678E">
          <w:rPr>
            <w:rStyle w:val="Hyperlink"/>
            <w:rFonts w:asciiTheme="majorHAnsi" w:hAnsiTheme="majorHAnsi"/>
          </w:rPr>
          <w:t xml:space="preserve">Clare </w:t>
        </w:r>
        <w:proofErr w:type="spellStart"/>
        <w:r w:rsidR="0042790C" w:rsidRPr="009F678E">
          <w:rPr>
            <w:rStyle w:val="Hyperlink"/>
            <w:rFonts w:asciiTheme="majorHAnsi" w:hAnsiTheme="majorHAnsi"/>
          </w:rPr>
          <w:t>Birchall</w:t>
        </w:r>
        <w:proofErr w:type="spellEnd"/>
      </w:hyperlink>
      <w:r w:rsidR="0042790C" w:rsidRPr="009F678E">
        <w:rPr>
          <w:rFonts w:asciiTheme="majorHAnsi" w:hAnsiTheme="majorHAnsi"/>
        </w:rPr>
        <w:t xml:space="preserve"> advises, the formal properties of our chosen medium must be used carefully to best communicate our chosen content.</w:t>
      </w:r>
    </w:p>
    <w:p w14:paraId="6AA4B015" w14:textId="77777777" w:rsidR="00D77EAD" w:rsidRDefault="00D77EAD" w:rsidP="00D77EAD">
      <w:pPr>
        <w:jc w:val="both"/>
        <w:rPr>
          <w:rFonts w:ascii="Calibri" w:hAnsi="Calibri"/>
        </w:rPr>
      </w:pPr>
    </w:p>
    <w:p w14:paraId="30A69DB4" w14:textId="77777777" w:rsidR="00D77EAD" w:rsidRPr="00D77EAD" w:rsidRDefault="00D77EAD" w:rsidP="00D77EAD">
      <w:pPr>
        <w:jc w:val="both"/>
        <w:rPr>
          <w:rFonts w:ascii="Calibri" w:hAnsi="Calibri"/>
        </w:rPr>
      </w:pPr>
    </w:p>
    <w:p w14:paraId="02FCC72E" w14:textId="77777777" w:rsidR="003728D0" w:rsidRDefault="003728D0" w:rsidP="003728D0">
      <w:pPr>
        <w:pStyle w:val="Title"/>
        <w:jc w:val="center"/>
        <w:rPr>
          <w:rFonts w:cstheme="majorHAnsi"/>
          <w:sz w:val="40"/>
          <w:szCs w:val="40"/>
        </w:rPr>
      </w:pPr>
      <w:r w:rsidRPr="00F77A9F">
        <w:rPr>
          <w:rFonts w:cstheme="majorHAnsi"/>
          <w:sz w:val="40"/>
          <w:szCs w:val="40"/>
        </w:rPr>
        <w:t>Policy Recommendations</w:t>
      </w:r>
    </w:p>
    <w:p w14:paraId="39ABC3B4" w14:textId="442B0722" w:rsidR="00FB4E16" w:rsidRDefault="00FB4E16" w:rsidP="00FB4E16">
      <w:pPr>
        <w:pStyle w:val="ListParagraph"/>
        <w:numPr>
          <w:ilvl w:val="0"/>
          <w:numId w:val="15"/>
        </w:numPr>
        <w:jc w:val="both"/>
      </w:pPr>
      <w:r>
        <w:t>The argument that citizens willingly trade their privacy for the sake of security has been shown to be an over-statement. Public debate should acknowledge and address citizens’ very real concerns</w:t>
      </w:r>
      <w:r w:rsidR="00B6096F">
        <w:t xml:space="preserve"> surrounding surveillance</w:t>
      </w:r>
      <w:r>
        <w:t>.</w:t>
      </w:r>
      <w:r w:rsidR="00B6096F">
        <w:t xml:space="preserve"> </w:t>
      </w:r>
      <w:r>
        <w:t xml:space="preserve"> </w:t>
      </w:r>
    </w:p>
    <w:p w14:paraId="49D9E928" w14:textId="33DD36E4" w:rsidR="00FB4E16" w:rsidRDefault="00FB4E16" w:rsidP="00FB4E16">
      <w:pPr>
        <w:pStyle w:val="ListParagraph"/>
        <w:numPr>
          <w:ilvl w:val="0"/>
          <w:numId w:val="15"/>
        </w:numPr>
        <w:jc w:val="both"/>
      </w:pPr>
      <w:r>
        <w:t>Legislators (at national and supra-national levels) should be mindful of the opacity and inaccessibility of the legislation outlining certain obligations, such as data protection legislation, and the emerging requirement for ‘privacy by design’. Public bodies should do more to make these obligations more accessible and understandable to engineers and designers faced with such legal obligations.</w:t>
      </w:r>
    </w:p>
    <w:p w14:paraId="43F54823" w14:textId="1639DF48" w:rsidR="00FB4E16" w:rsidRDefault="00FB4E16" w:rsidP="00FB4E16">
      <w:pPr>
        <w:pStyle w:val="ListParagraph"/>
        <w:numPr>
          <w:ilvl w:val="0"/>
          <w:numId w:val="15"/>
        </w:numPr>
        <w:jc w:val="both"/>
      </w:pPr>
      <w:r>
        <w:t>There is a need for greater focus on</w:t>
      </w:r>
      <w:r w:rsidR="005D3ABD">
        <w:t xml:space="preserve"> </w:t>
      </w:r>
      <w:r w:rsidR="005D3ABD" w:rsidRPr="005D3ABD">
        <w:rPr>
          <w:i/>
        </w:rPr>
        <w:t>public</w:t>
      </w:r>
      <w:r>
        <w:t xml:space="preserve"> </w:t>
      </w:r>
      <w:r>
        <w:rPr>
          <w:i/>
        </w:rPr>
        <w:t>accountability</w:t>
      </w:r>
      <w:r>
        <w:t xml:space="preserve"> from the actions of the state and other bodies collecting information. Transparency alone will not lead to greater accountability.</w:t>
      </w:r>
      <w:r w:rsidR="00B6096F">
        <w:t xml:space="preserve">  </w:t>
      </w:r>
    </w:p>
    <w:p w14:paraId="4880AE2C" w14:textId="0C815D37" w:rsidR="00B6096F" w:rsidRDefault="00B6096F" w:rsidP="00FB4E16">
      <w:pPr>
        <w:pStyle w:val="ListParagraph"/>
        <w:numPr>
          <w:ilvl w:val="0"/>
          <w:numId w:val="15"/>
        </w:numPr>
        <w:jc w:val="both"/>
      </w:pPr>
      <w:r>
        <w:t xml:space="preserve">Governments and others involved in surveillance and data collection should embrace transparency insofar as is possible. Recognising that total transparency may not always be feasible, we recommend a push towards greater translucency – in other words, transparency should not be seen as </w:t>
      </w:r>
      <w:proofErr w:type="gramStart"/>
      <w:r>
        <w:t>an ‘all</w:t>
      </w:r>
      <w:proofErr w:type="gramEnd"/>
      <w:r>
        <w:t xml:space="preserve"> or nothing’ exercise. </w:t>
      </w:r>
    </w:p>
    <w:p w14:paraId="141C27FA" w14:textId="45379251" w:rsidR="00FB4E16" w:rsidRDefault="00FB4E16" w:rsidP="00FB4E16">
      <w:pPr>
        <w:pStyle w:val="ListParagraph"/>
        <w:numPr>
          <w:ilvl w:val="0"/>
          <w:numId w:val="15"/>
        </w:numPr>
        <w:jc w:val="both"/>
      </w:pPr>
      <w:r>
        <w:t xml:space="preserve">Academics should consider ways of making theories and concepts surrounding privacy, transparency, </w:t>
      </w:r>
      <w:r w:rsidR="00B6096F">
        <w:t xml:space="preserve">surveillance </w:t>
      </w:r>
      <w:r>
        <w:t xml:space="preserve">and </w:t>
      </w:r>
      <w:r w:rsidR="00B6096F">
        <w:t>security</w:t>
      </w:r>
      <w:r>
        <w:t xml:space="preserve"> more accessible to a broader audience through, for example, engaging with the artist</w:t>
      </w:r>
      <w:r w:rsidR="005D3ABD">
        <w:t>ic</w:t>
      </w:r>
      <w:r>
        <w:t xml:space="preserve"> community</w:t>
      </w:r>
      <w:r w:rsidR="00B6096F">
        <w:t xml:space="preserve"> and providing more accessible messages via social media, to create a public space for engagement on these issues. </w:t>
      </w:r>
    </w:p>
    <w:p w14:paraId="132FD66B" w14:textId="337A2F90" w:rsidR="00FB4E16" w:rsidRPr="0059639B" w:rsidRDefault="00FB4E16" w:rsidP="00FB4E16"/>
    <w:sectPr w:rsidR="00FB4E16" w:rsidRPr="0059639B" w:rsidSect="00611819">
      <w:headerReference w:type="even" r:id="rId25"/>
      <w:headerReference w:type="default" r:id="rId26"/>
      <w:headerReference w:type="first" r:id="rId27"/>
      <w:pgSz w:w="11900" w:h="16840"/>
      <w:pgMar w:top="1361" w:right="1531" w:bottom="136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6363" w14:textId="77777777" w:rsidR="009F678E" w:rsidRDefault="009F678E" w:rsidP="00CA7107">
      <w:r>
        <w:separator/>
      </w:r>
    </w:p>
  </w:endnote>
  <w:endnote w:type="continuationSeparator" w:id="0">
    <w:p w14:paraId="1B725156" w14:textId="77777777" w:rsidR="009F678E" w:rsidRDefault="009F678E" w:rsidP="00C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4CB5" w14:textId="77777777" w:rsidR="009F678E" w:rsidRDefault="009F678E" w:rsidP="00CA7107">
      <w:r>
        <w:separator/>
      </w:r>
    </w:p>
  </w:footnote>
  <w:footnote w:type="continuationSeparator" w:id="0">
    <w:p w14:paraId="230CA3FF" w14:textId="77777777" w:rsidR="009F678E" w:rsidRDefault="009F678E" w:rsidP="00CA7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744DF0" w14:textId="77777777" w:rsidR="009F678E" w:rsidRDefault="009F678E">
    <w:pPr>
      <w:pStyle w:val="Header"/>
    </w:pPr>
    <w:r>
      <w:rPr>
        <w:noProof/>
        <w:lang w:val="en-US"/>
      </w:rPr>
      <w:pict w14:anchorId="28EF4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pt;height:146pt;rotation:315;z-index:-251655168;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4CF37D" w14:textId="77777777" w:rsidR="009F678E" w:rsidRPr="001C1D0E" w:rsidRDefault="009F678E" w:rsidP="00074B19">
    <w:pPr>
      <w:jc w:val="center"/>
      <w:rPr>
        <w:rFonts w:asciiTheme="majorHAnsi" w:hAnsiTheme="majorHAnsi"/>
        <w:color w:val="17365D" w:themeColor="text2" w:themeShade="BF"/>
        <w:sz w:val="18"/>
        <w:szCs w:val="18"/>
      </w:rPr>
    </w:pPr>
    <w:r w:rsidRPr="001C1D0E">
      <w:rPr>
        <w:rFonts w:asciiTheme="majorHAnsi" w:hAnsiTheme="majorHAnsi"/>
        <w:color w:val="17365D" w:themeColor="text2" w:themeShade="BF"/>
        <w:sz w:val="18"/>
        <w:szCs w:val="18"/>
      </w:rPr>
      <w:t>DATA-PSST! Debating and Assessing Transparency Arrangements – Privacy, Security, Sur</w:t>
    </w:r>
    <w:r>
      <w:rPr>
        <w:rFonts w:asciiTheme="majorHAnsi" w:hAnsiTheme="majorHAnsi"/>
        <w:color w:val="17365D" w:themeColor="text2" w:themeShade="BF"/>
        <w:sz w:val="18"/>
        <w:szCs w:val="18"/>
      </w:rPr>
      <w:t>/Sous/V</w:t>
    </w:r>
    <w:r w:rsidRPr="001C1D0E">
      <w:rPr>
        <w:rFonts w:asciiTheme="majorHAnsi" w:hAnsiTheme="majorHAnsi"/>
        <w:color w:val="17365D" w:themeColor="text2" w:themeShade="BF"/>
        <w:sz w:val="18"/>
        <w:szCs w:val="18"/>
      </w:rPr>
      <w:t>eillance, Trust</w:t>
    </w:r>
  </w:p>
  <w:p w14:paraId="2125B5AA" w14:textId="77777777" w:rsidR="009F678E" w:rsidRPr="001C1D0E" w:rsidRDefault="009F678E" w:rsidP="00074B19">
    <w:pPr>
      <w:pStyle w:val="Header"/>
      <w:jc w:val="center"/>
      <w:rPr>
        <w:color w:val="17365D" w:themeColor="text2" w:themeShade="BF"/>
      </w:rPr>
    </w:pPr>
    <w:hyperlink r:id="rId1" w:history="1">
      <w:r w:rsidRPr="001C1D0E">
        <w:rPr>
          <w:rStyle w:val="Hyperlink"/>
          <w:rFonts w:asciiTheme="majorHAnsi" w:eastAsia="Times New Roman" w:hAnsiTheme="majorHAnsi"/>
          <w:color w:val="17365D" w:themeColor="text2" w:themeShade="BF"/>
          <w:sz w:val="18"/>
          <w:szCs w:val="18"/>
          <w:shd w:val="clear" w:color="auto" w:fill="FFFFFF"/>
        </w:rPr>
        <w:t>http://data-psst.bangor.ac.uk/index.php.en</w:t>
      </w:r>
    </w:hyperlink>
    <w:r>
      <w:rPr>
        <w:noProof/>
        <w:color w:val="17365D" w:themeColor="text2" w:themeShade="BF"/>
        <w:lang w:val="en-US"/>
      </w:rPr>
      <w:pict w14:anchorId="7DFAFA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2pt;height:146pt;rotation:315;z-index:-251657216;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2B570" w14:textId="77777777" w:rsidR="009F678E" w:rsidRDefault="009F678E">
    <w:pPr>
      <w:pStyle w:val="Header"/>
    </w:pPr>
    <w:r>
      <w:rPr>
        <w:noProof/>
        <w:lang w:val="en-US"/>
      </w:rPr>
      <w:pict w14:anchorId="207A1F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pt;height:146pt;rotation:315;z-index:-251653120;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9B2"/>
    <w:multiLevelType w:val="hybridMultilevel"/>
    <w:tmpl w:val="44E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8B5"/>
    <w:multiLevelType w:val="hybridMultilevel"/>
    <w:tmpl w:val="B7B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2717A"/>
    <w:multiLevelType w:val="hybridMultilevel"/>
    <w:tmpl w:val="6CD6D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395B15"/>
    <w:multiLevelType w:val="hybridMultilevel"/>
    <w:tmpl w:val="B7D01614"/>
    <w:lvl w:ilvl="0" w:tplc="41C0EF08">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B5CC2"/>
    <w:multiLevelType w:val="hybridMultilevel"/>
    <w:tmpl w:val="E28A63E2"/>
    <w:lvl w:ilvl="0" w:tplc="0DA8304A">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65B8B"/>
    <w:multiLevelType w:val="hybridMultilevel"/>
    <w:tmpl w:val="A0C0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C522E"/>
    <w:multiLevelType w:val="hybridMultilevel"/>
    <w:tmpl w:val="CC6CFE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9B735F"/>
    <w:multiLevelType w:val="hybridMultilevel"/>
    <w:tmpl w:val="851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F4501"/>
    <w:multiLevelType w:val="hybridMultilevel"/>
    <w:tmpl w:val="E7040C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C6845"/>
    <w:multiLevelType w:val="hybridMultilevel"/>
    <w:tmpl w:val="C04497D8"/>
    <w:lvl w:ilvl="0" w:tplc="555AEF66">
      <w:start w:val="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31E7F"/>
    <w:multiLevelType w:val="hybridMultilevel"/>
    <w:tmpl w:val="53B22C5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16170"/>
    <w:multiLevelType w:val="hybridMultilevel"/>
    <w:tmpl w:val="7222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5791F"/>
    <w:multiLevelType w:val="hybridMultilevel"/>
    <w:tmpl w:val="A2D41878"/>
    <w:lvl w:ilvl="0" w:tplc="555AEF66">
      <w:start w:val="6"/>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FE277A8"/>
    <w:multiLevelType w:val="hybridMultilevel"/>
    <w:tmpl w:val="18B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E5A1F"/>
    <w:multiLevelType w:val="hybridMultilevel"/>
    <w:tmpl w:val="83724C92"/>
    <w:lvl w:ilvl="0" w:tplc="E8383200">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10"/>
  </w:num>
  <w:num w:numId="7">
    <w:abstractNumId w:val="9"/>
  </w:num>
  <w:num w:numId="8">
    <w:abstractNumId w:val="13"/>
  </w:num>
  <w:num w:numId="9">
    <w:abstractNumId w:val="14"/>
  </w:num>
  <w:num w:numId="10">
    <w:abstractNumId w:val="3"/>
  </w:num>
  <w:num w:numId="11">
    <w:abstractNumId w:val="4"/>
  </w:num>
  <w:num w:numId="12">
    <w:abstractNumId w:val="2"/>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49"/>
    <w:rsid w:val="000030DD"/>
    <w:rsid w:val="00005761"/>
    <w:rsid w:val="000110B6"/>
    <w:rsid w:val="00033BD8"/>
    <w:rsid w:val="00074B19"/>
    <w:rsid w:val="00076DD4"/>
    <w:rsid w:val="000843C8"/>
    <w:rsid w:val="000A4859"/>
    <w:rsid w:val="000B719D"/>
    <w:rsid w:val="000C0322"/>
    <w:rsid w:val="000C4929"/>
    <w:rsid w:val="000E422A"/>
    <w:rsid w:val="000E518A"/>
    <w:rsid w:val="00124778"/>
    <w:rsid w:val="00157F2B"/>
    <w:rsid w:val="00195FCA"/>
    <w:rsid w:val="001B0FF3"/>
    <w:rsid w:val="001C1D0E"/>
    <w:rsid w:val="001E091E"/>
    <w:rsid w:val="001F5E1F"/>
    <w:rsid w:val="0020208F"/>
    <w:rsid w:val="002277DD"/>
    <w:rsid w:val="00262478"/>
    <w:rsid w:val="00272F2A"/>
    <w:rsid w:val="002C75F6"/>
    <w:rsid w:val="002D7352"/>
    <w:rsid w:val="002E399D"/>
    <w:rsid w:val="002E4094"/>
    <w:rsid w:val="003039EA"/>
    <w:rsid w:val="00313945"/>
    <w:rsid w:val="003728D0"/>
    <w:rsid w:val="003964FB"/>
    <w:rsid w:val="003D3551"/>
    <w:rsid w:val="004129CC"/>
    <w:rsid w:val="0042790C"/>
    <w:rsid w:val="00430FE4"/>
    <w:rsid w:val="00431186"/>
    <w:rsid w:val="00452EA4"/>
    <w:rsid w:val="00487001"/>
    <w:rsid w:val="004D5F2C"/>
    <w:rsid w:val="004E196E"/>
    <w:rsid w:val="004F2D75"/>
    <w:rsid w:val="00533D40"/>
    <w:rsid w:val="0053665A"/>
    <w:rsid w:val="00536CBE"/>
    <w:rsid w:val="005435F0"/>
    <w:rsid w:val="005448BA"/>
    <w:rsid w:val="00552C4E"/>
    <w:rsid w:val="00571A5E"/>
    <w:rsid w:val="00571C5A"/>
    <w:rsid w:val="005769DA"/>
    <w:rsid w:val="00581180"/>
    <w:rsid w:val="0059639B"/>
    <w:rsid w:val="005C0BCB"/>
    <w:rsid w:val="005C11FF"/>
    <w:rsid w:val="005D3ABD"/>
    <w:rsid w:val="005D6C47"/>
    <w:rsid w:val="005F4D76"/>
    <w:rsid w:val="00605BE8"/>
    <w:rsid w:val="00605F9C"/>
    <w:rsid w:val="00611819"/>
    <w:rsid w:val="00632428"/>
    <w:rsid w:val="00640188"/>
    <w:rsid w:val="00660EF8"/>
    <w:rsid w:val="006951A1"/>
    <w:rsid w:val="006A561B"/>
    <w:rsid w:val="006B4ADD"/>
    <w:rsid w:val="006C3E8D"/>
    <w:rsid w:val="006D60B3"/>
    <w:rsid w:val="00771BC1"/>
    <w:rsid w:val="00773845"/>
    <w:rsid w:val="00774229"/>
    <w:rsid w:val="007838C7"/>
    <w:rsid w:val="007A1C49"/>
    <w:rsid w:val="007D5EE9"/>
    <w:rsid w:val="007D64BF"/>
    <w:rsid w:val="00836450"/>
    <w:rsid w:val="008563D0"/>
    <w:rsid w:val="00862060"/>
    <w:rsid w:val="008663A0"/>
    <w:rsid w:val="0087183F"/>
    <w:rsid w:val="008765B4"/>
    <w:rsid w:val="008803B9"/>
    <w:rsid w:val="008A6441"/>
    <w:rsid w:val="008C4B14"/>
    <w:rsid w:val="008C64CE"/>
    <w:rsid w:val="009113D0"/>
    <w:rsid w:val="00916B4C"/>
    <w:rsid w:val="00932C01"/>
    <w:rsid w:val="009B6420"/>
    <w:rsid w:val="009D51AA"/>
    <w:rsid w:val="009D6D46"/>
    <w:rsid w:val="009F678E"/>
    <w:rsid w:val="00A22031"/>
    <w:rsid w:val="00A567B7"/>
    <w:rsid w:val="00A94A51"/>
    <w:rsid w:val="00A97DF7"/>
    <w:rsid w:val="00AB6664"/>
    <w:rsid w:val="00AD2327"/>
    <w:rsid w:val="00AD29CF"/>
    <w:rsid w:val="00AF3C08"/>
    <w:rsid w:val="00B3334D"/>
    <w:rsid w:val="00B6096F"/>
    <w:rsid w:val="00B820AC"/>
    <w:rsid w:val="00B86D34"/>
    <w:rsid w:val="00BB0047"/>
    <w:rsid w:val="00BE000F"/>
    <w:rsid w:val="00BF3BEC"/>
    <w:rsid w:val="00C035A9"/>
    <w:rsid w:val="00C27950"/>
    <w:rsid w:val="00C85A6C"/>
    <w:rsid w:val="00C937FE"/>
    <w:rsid w:val="00CA7107"/>
    <w:rsid w:val="00CC16CD"/>
    <w:rsid w:val="00CC46E5"/>
    <w:rsid w:val="00CC7E7C"/>
    <w:rsid w:val="00CD493B"/>
    <w:rsid w:val="00CF2EA0"/>
    <w:rsid w:val="00D50A4E"/>
    <w:rsid w:val="00D5651E"/>
    <w:rsid w:val="00D716C4"/>
    <w:rsid w:val="00D734A7"/>
    <w:rsid w:val="00D75DB4"/>
    <w:rsid w:val="00D77EAD"/>
    <w:rsid w:val="00D941B9"/>
    <w:rsid w:val="00DB3B48"/>
    <w:rsid w:val="00DB5BF1"/>
    <w:rsid w:val="00DF6BB0"/>
    <w:rsid w:val="00E009C7"/>
    <w:rsid w:val="00E22775"/>
    <w:rsid w:val="00E250A3"/>
    <w:rsid w:val="00E34502"/>
    <w:rsid w:val="00E65FCA"/>
    <w:rsid w:val="00E7756A"/>
    <w:rsid w:val="00EA6AD7"/>
    <w:rsid w:val="00EE3525"/>
    <w:rsid w:val="00EF39C4"/>
    <w:rsid w:val="00EF42C3"/>
    <w:rsid w:val="00EF4809"/>
    <w:rsid w:val="00F0440F"/>
    <w:rsid w:val="00F52D5D"/>
    <w:rsid w:val="00F77A9F"/>
    <w:rsid w:val="00FA7173"/>
    <w:rsid w:val="00FB4E16"/>
    <w:rsid w:val="00FD0C9C"/>
    <w:rsid w:val="00FE4D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F7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 w:type="character" w:customStyle="1" w:styleId="None">
    <w:name w:val="None"/>
    <w:rsid w:val="005D3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 w:type="character" w:customStyle="1" w:styleId="None">
    <w:name w:val="None"/>
    <w:rsid w:val="005D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data-psst.blogspot.co.uk/2016/05/seminar-6-position-statement-lachlan.html" TargetMode="External"/><Relationship Id="rId21" Type="http://schemas.openxmlformats.org/officeDocument/2006/relationships/hyperlink" Target="http://data-psst.blogspot.co.uk/2016/05/seminar-6-position-statement-yuwei-lin_17.html" TargetMode="External"/><Relationship Id="rId22" Type="http://schemas.openxmlformats.org/officeDocument/2006/relationships/hyperlink" Target="http://www.communicationethics.net/journal/v12n3-4/feat1.pdf" TargetMode="External"/><Relationship Id="rId23" Type="http://schemas.openxmlformats.org/officeDocument/2006/relationships/hyperlink" Target="http://data-psst.blogspot.co.uk/2016/05/seminar-6-dyfrig-jones-position.html" TargetMode="External"/><Relationship Id="rId24" Type="http://schemas.openxmlformats.org/officeDocument/2006/relationships/hyperlink" Target="http://data-psst.blogspot.co.uk/2016/05/seminar-6-position-statement-clare.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ata-psst.blogspot.co.uk/2016/05/welcome-to-data-psst-seminar-6-cohering_17.html" TargetMode="External"/><Relationship Id="rId11" Type="http://schemas.openxmlformats.org/officeDocument/2006/relationships/hyperlink" Target="http://data-psst.bangor.ac.uk/policy.php.en" TargetMode="External"/><Relationship Id="rId12" Type="http://schemas.openxmlformats.org/officeDocument/2006/relationships/hyperlink" Target="http://data-psst.blogspot.co.uk/2016/05/seminar-6-vian-bakir-position-statement.html" TargetMode="External"/><Relationship Id="rId13" Type="http://schemas.openxmlformats.org/officeDocument/2006/relationships/hyperlink" Target="http://data-psst.bangor.ac.uk/index.php.en" TargetMode="External"/><Relationship Id="rId14" Type="http://schemas.openxmlformats.org/officeDocument/2006/relationships/hyperlink" Target="http://data-psst.blogspot.co.uk/" TargetMode="External"/><Relationship Id="rId15" Type="http://schemas.openxmlformats.org/officeDocument/2006/relationships/hyperlink" Target="http://data-psst.bangor.ac.uk/policy.php.en" TargetMode="External"/><Relationship Id="rId16" Type="http://schemas.openxmlformats.org/officeDocument/2006/relationships/hyperlink" Target="http://data-psst.bangor.ac.uk/big-data-society.php.en" TargetMode="External"/><Relationship Id="rId17" Type="http://schemas.openxmlformats.org/officeDocument/2006/relationships/hyperlink" Target="http://www.communicationethics.net/journal/v12n3-4/feat2.pdf" TargetMode="External"/><Relationship Id="rId18" Type="http://schemas.openxmlformats.org/officeDocument/2006/relationships/hyperlink" Target="http://data-psst.blogspot.co.uk/2016/05/seminar-6-andrew-mcstay-position.html" TargetMode="External"/><Relationship Id="rId19" Type="http://schemas.openxmlformats.org/officeDocument/2006/relationships/hyperlink" Target="http://data-psst.blogspot.co.uk/2016/05/ronan-devlin-seminar-6-posi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hyperlink" Target="http://data-psst.bangor.ac.uk/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1293</Words>
  <Characters>8437</Characters>
  <Application>Microsoft Macintosh Word</Application>
  <DocSecurity>0</DocSecurity>
  <Lines>127</Lines>
  <Paragraphs>25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McStay</dc:creator>
  <cp:lastModifiedBy>Andy McStay</cp:lastModifiedBy>
  <cp:revision>8</cp:revision>
  <dcterms:created xsi:type="dcterms:W3CDTF">2016-06-24T14:10:00Z</dcterms:created>
  <dcterms:modified xsi:type="dcterms:W3CDTF">2016-06-24T14:26:00Z</dcterms:modified>
</cp:coreProperties>
</file>